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F3" w:rsidRDefault="00DF74F3" w:rsidP="00DF74F3">
      <w:pPr>
        <w:suppressAutoHyphens/>
        <w:spacing w:after="160" w:line="252" w:lineRule="auto"/>
        <w:jc w:val="both"/>
        <w:textAlignment w:val="baseline"/>
        <w:rPr>
          <w:sz w:val="20"/>
          <w:szCs w:val="20"/>
          <w:lang w:val="lv-LV" w:eastAsia="lv-LV"/>
        </w:rPr>
      </w:pPr>
      <w:r>
        <w:rPr>
          <w:b/>
          <w:iCs/>
          <w:sz w:val="26"/>
          <w:szCs w:val="26"/>
          <w:lang w:val="lv-LV" w:eastAsia="lv-LV"/>
        </w:rPr>
        <w:t>Projekta tāme</w:t>
      </w:r>
      <w:bookmarkStart w:id="0" w:name="_GoBack"/>
      <w:bookmarkEnd w:id="0"/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40"/>
      </w:tblGrid>
      <w:tr w:rsidR="00DF74F3" w:rsidTr="001963F5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F3" w:rsidRDefault="00DF74F3" w:rsidP="001963F5">
            <w:pPr>
              <w:suppressAutoHyphens/>
              <w:jc w:val="both"/>
              <w:textAlignment w:val="baseline"/>
              <w:rPr>
                <w:i/>
                <w:lang w:val="lv-LV" w:eastAsia="lv-LV"/>
              </w:rPr>
            </w:pPr>
            <w:r>
              <w:rPr>
                <w:i/>
                <w:lang w:val="lv-LV" w:eastAsia="lv-LV"/>
              </w:rPr>
              <w:t xml:space="preserve">Paredzamās darbu izmaksas: </w: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829"/>
              <w:gridCol w:w="1132"/>
              <w:gridCol w:w="1420"/>
              <w:gridCol w:w="1420"/>
              <w:gridCol w:w="2408"/>
            </w:tblGrid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Piezīmes</w:t>
                  </w: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Karuselis (</w:t>
                  </w:r>
                  <w:hyperlink r:id="rId4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Nr.4195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550,00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550,00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Šūpoles uz atsperes – Kuģītis (divvietīgs)(</w:t>
                  </w:r>
                  <w:hyperlink r:id="rId5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Nr.4172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740,00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740,00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Vingrošanas komplekss (</w:t>
                  </w:r>
                  <w:hyperlink r:id="rId6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Nr.6105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1500,00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1500,00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Šūpoles divvietīgās (</w:t>
                  </w:r>
                  <w:hyperlink r:id="rId7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Nr.4142b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780,00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780,00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Šūpoles - Ligzda D=0,95 uz metāla kājām ar grozu (</w:t>
                  </w:r>
                  <w:hyperlink r:id="rId8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Nr.4158/001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1400,00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1400,00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Mājiņa ar pulksteni (</w:t>
                  </w:r>
                  <w:hyperlink r:id="rId9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Nr.4322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1650,00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1650,00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Bērnu rotaļu komplekss (</w:t>
                  </w:r>
                  <w:hyperlink r:id="rId10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Nr.5102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6100,00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6100,00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Smilšu kaste 3 x 3 m (</w:t>
                  </w:r>
                  <w:hyperlink r:id="rId11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Nr.4241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450,00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450,00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Trenažieris (</w:t>
                  </w:r>
                  <w:hyperlink r:id="rId12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Nr.7535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840,00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840,00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Trenažieris (</w:t>
                  </w:r>
                  <w:hyperlink r:id="rId13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Nr.7513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885,00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885,00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Trenažieris (</w:t>
                  </w:r>
                  <w:hyperlink r:id="rId14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Nr.7520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740,00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740,00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Trenažieris (</w:t>
                  </w:r>
                  <w:hyperlink r:id="rId15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Nr.7521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1265,00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1265,00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Trenažieris (</w:t>
                  </w:r>
                  <w:hyperlink r:id="rId16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Nr.7529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720,00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720,00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</w:pPr>
                  <w:r>
                    <w:rPr>
                      <w:lang w:val="lv-LV" w:eastAsia="lv-LV"/>
                    </w:rPr>
                    <w:t>Vingrošanas komplekss (</w:t>
                  </w:r>
                  <w:hyperlink r:id="rId17">
                    <w:r>
                      <w:rPr>
                        <w:rStyle w:val="InternetLink"/>
                        <w:lang w:val="lv-LV" w:eastAsia="lv-LV"/>
                      </w:rPr>
                      <w:t>www.ksil.lv</w:t>
                    </w:r>
                  </w:hyperlink>
                  <w:r>
                    <w:rPr>
                      <w:lang w:val="lv-LV" w:eastAsia="lv-LV"/>
                    </w:rPr>
                    <w:t xml:space="preserve"> Nr.6456 vai ekvivalents)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4500,00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4500,00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Gumijas seguma izveide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52,00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280 m2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14 560,00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Piegāde un uzstādīšana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2900,00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2900,00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Projektēšana, topogrāfija, saskaņošana būvvaldē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1600,00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1600,00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DF74F3" w:rsidTr="001963F5"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PAVISAM KOPĀ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41 180 EUR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74F3" w:rsidRDefault="00DF74F3" w:rsidP="001963F5">
                  <w:pPr>
                    <w:suppressAutoHyphens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</w:tbl>
          <w:p w:rsidR="00DF74F3" w:rsidRDefault="00DF74F3" w:rsidP="001963F5">
            <w:pPr>
              <w:suppressAutoHyphens/>
              <w:jc w:val="both"/>
              <w:textAlignment w:val="baseline"/>
              <w:rPr>
                <w:i/>
                <w:lang w:val="lv-LV" w:eastAsia="lv-LV"/>
              </w:rPr>
            </w:pPr>
          </w:p>
        </w:tc>
      </w:tr>
    </w:tbl>
    <w:p w:rsidR="00DF74F3" w:rsidRDefault="00DF74F3" w:rsidP="00DF74F3">
      <w:pPr>
        <w:suppressAutoHyphens/>
        <w:spacing w:after="160" w:line="252" w:lineRule="auto"/>
        <w:jc w:val="both"/>
        <w:textAlignment w:val="baseline"/>
        <w:rPr>
          <w:lang w:val="lv-LV" w:eastAsia="lv-LV"/>
        </w:rPr>
      </w:pPr>
    </w:p>
    <w:p w:rsidR="002719C7" w:rsidRDefault="002719C7"/>
    <w:sectPr w:rsidR="002719C7">
      <w:headerReference w:type="default" r:id="rId18"/>
      <w:pgSz w:w="11906" w:h="16838"/>
      <w:pgMar w:top="1134" w:right="567" w:bottom="1276" w:left="1701" w:header="709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7A6" w:rsidRDefault="00DF74F3">
    <w:pPr>
      <w:pStyle w:val="Galven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9416D2" wp14:editId="433C64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67A6" w:rsidRDefault="00DF74F3">
                          <w:pPr>
                            <w:pStyle w:val="Galvene"/>
                          </w:pPr>
                          <w:r>
                            <w:rPr>
                              <w:rStyle w:val="Lappusesnumur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</w:rPr>
                            <w:instrText>PAGE</w:instrText>
                          </w:r>
                          <w:r>
                            <w:rPr>
                              <w:rStyle w:val="Lappusesnumurs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</w:rPr>
                            <w:t>3</w:t>
                          </w:r>
                          <w:r>
                            <w:rPr>
                              <w:rStyle w:val="Lappusesnumur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39416D2" id="Frame1" o:spid="_x0000_s1026" style="position:absolute;margin-left:0;margin-top:.05pt;width:6.15pt;height:13.7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" filled="f" stroked="f">
              <v:textbox style="mso-fit-shape-to-text:t" inset="0,0,0,0">
                <w:txbxContent>
                  <w:p w:rsidR="000C67A6" w:rsidRDefault="00DF74F3">
                    <w:pPr>
                      <w:pStyle w:val="Galvene"/>
                    </w:pPr>
                    <w:r>
                      <w:rPr>
                        <w:rStyle w:val="Lappusesnumurs"/>
                        <w:color w:val="000000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>PAGE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>
                      <w:rPr>
                        <w:rStyle w:val="Lappusesnumurs"/>
                      </w:rPr>
                      <w:t>3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F3"/>
    <w:rsid w:val="002719C7"/>
    <w:rsid w:val="009C7042"/>
    <w:rsid w:val="00D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7DAF0"/>
  <w15:chartTrackingRefBased/>
  <w15:docId w15:val="{D0F88501-7D15-4584-BF8C-B6F4DFBD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F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qFormat/>
    <w:rsid w:val="00DF74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qFormat/>
    <w:rsid w:val="00DF74F3"/>
    <w:rPr>
      <w:rFonts w:cs="Times New Roman"/>
    </w:rPr>
  </w:style>
  <w:style w:type="character" w:customStyle="1" w:styleId="InternetLink">
    <w:name w:val="Internet Link"/>
    <w:rsid w:val="00DF74F3"/>
    <w:rPr>
      <w:color w:val="000080"/>
      <w:u w:val="single"/>
    </w:rPr>
  </w:style>
  <w:style w:type="paragraph" w:styleId="Galvene">
    <w:name w:val="header"/>
    <w:basedOn w:val="Parasts"/>
    <w:link w:val="GalveneRakstz"/>
    <w:rsid w:val="00DF74F3"/>
    <w:pPr>
      <w:tabs>
        <w:tab w:val="center" w:pos="4320"/>
        <w:tab w:val="right" w:pos="8640"/>
      </w:tabs>
    </w:pPr>
  </w:style>
  <w:style w:type="character" w:customStyle="1" w:styleId="GalveneRakstz1">
    <w:name w:val="Galvene Rakstz.1"/>
    <w:basedOn w:val="Noklusjumarindkopasfonts"/>
    <w:uiPriority w:val="99"/>
    <w:semiHidden/>
    <w:rsid w:val="00DF74F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l.lv/" TargetMode="External"/><Relationship Id="rId13" Type="http://schemas.openxmlformats.org/officeDocument/2006/relationships/hyperlink" Target="http://www.ksil.lv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sil.lv/" TargetMode="External"/><Relationship Id="rId12" Type="http://schemas.openxmlformats.org/officeDocument/2006/relationships/hyperlink" Target="http://www.ksil.lv/" TargetMode="External"/><Relationship Id="rId17" Type="http://schemas.openxmlformats.org/officeDocument/2006/relationships/hyperlink" Target="http://www.ksil.l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sil.lv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sil.lv/" TargetMode="External"/><Relationship Id="rId11" Type="http://schemas.openxmlformats.org/officeDocument/2006/relationships/hyperlink" Target="http://www.ksil.lv/" TargetMode="External"/><Relationship Id="rId5" Type="http://schemas.openxmlformats.org/officeDocument/2006/relationships/hyperlink" Target="http://www.ksil.lv/" TargetMode="External"/><Relationship Id="rId15" Type="http://schemas.openxmlformats.org/officeDocument/2006/relationships/hyperlink" Target="http://www.ksil.lv/" TargetMode="External"/><Relationship Id="rId10" Type="http://schemas.openxmlformats.org/officeDocument/2006/relationships/hyperlink" Target="http://www.ksil.lv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ksil.lv/" TargetMode="External"/><Relationship Id="rId9" Type="http://schemas.openxmlformats.org/officeDocument/2006/relationships/hyperlink" Target="http://www.ksil.lv/" TargetMode="External"/><Relationship Id="rId14" Type="http://schemas.openxmlformats.org/officeDocument/2006/relationships/hyperlink" Target="http://www.ksil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2019-08-09T12:16:00Z</dcterms:created>
  <dcterms:modified xsi:type="dcterms:W3CDTF">2019-08-09T12:17:00Z</dcterms:modified>
</cp:coreProperties>
</file>