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474"/>
      </w:tblGrid>
      <w:tr w:rsidR="008C6482" w:rsidRPr="008C6482" w:rsidTr="00321BF7"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8C6482" w:rsidRPr="008C6482" w:rsidRDefault="008C6482" w:rsidP="00321BF7">
            <w:pPr>
              <w:jc w:val="both"/>
              <w:textAlignment w:val="baseline"/>
              <w:rPr>
                <w:lang w:val="lv-LV"/>
              </w:rPr>
            </w:pPr>
            <w:r w:rsidRPr="008C6482">
              <w:rPr>
                <w:b/>
                <w:lang w:val="lv-LV" w:eastAsia="lv-LV"/>
              </w:rPr>
              <w:t xml:space="preserve">2.4. Projekta realizēšanai iespējami nepieciešamais finansējums </w:t>
            </w:r>
            <w:r w:rsidRPr="008C6482">
              <w:rPr>
                <w:lang w:val="lv-LV" w:eastAsia="lv-LV"/>
              </w:rPr>
              <w:t>(norādāms projekta darbu apjoms, iespējamās darbu un materiālu izmaksas)</w:t>
            </w:r>
          </w:p>
        </w:tc>
      </w:tr>
      <w:tr w:rsidR="008C6482" w:rsidRPr="00FB452C" w:rsidTr="00321BF7">
        <w:tc>
          <w:tcPr>
            <w:tcW w:w="9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82" w:rsidRPr="008C6482" w:rsidRDefault="008C6482" w:rsidP="008C6482">
            <w:pPr>
              <w:numPr>
                <w:ilvl w:val="0"/>
                <w:numId w:val="1"/>
              </w:numPr>
              <w:jc w:val="both"/>
              <w:textAlignment w:val="baseline"/>
              <w:rPr>
                <w:b/>
                <w:i/>
                <w:lang w:val="lv-LV" w:eastAsia="lv-LV"/>
              </w:rPr>
            </w:pPr>
            <w:r w:rsidRPr="008C6482">
              <w:rPr>
                <w:i/>
                <w:lang w:val="lv-LV" w:eastAsia="lv-LV"/>
              </w:rPr>
              <w:t xml:space="preserve">Paredzamās darbu izmaksas: </w:t>
            </w:r>
          </w:p>
          <w:p w:rsidR="008C6482" w:rsidRPr="008C6482" w:rsidRDefault="008C6482" w:rsidP="00321BF7">
            <w:pPr>
              <w:ind w:left="720"/>
              <w:jc w:val="both"/>
              <w:textAlignment w:val="baseline"/>
              <w:rPr>
                <w:b/>
                <w:i/>
                <w:lang w:val="lv-LV" w:eastAsia="lv-LV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830"/>
              <w:gridCol w:w="1134"/>
              <w:gridCol w:w="1420"/>
              <w:gridCol w:w="1420"/>
              <w:gridCol w:w="2415"/>
            </w:tblGrid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C6482">
                    <w:rPr>
                      <w:b/>
                      <w:i/>
                      <w:lang w:val="lv-LV" w:eastAsia="lv-LV"/>
                    </w:rPr>
                    <w:t>Darbu veids</w:t>
                  </w:r>
                </w:p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C6482">
                    <w:rPr>
                      <w:b/>
                      <w:i/>
                      <w:lang w:val="lv-LV" w:eastAsia="lv-LV"/>
                    </w:rPr>
                    <w:t>vai konstruktīvā elementa nosaukums, apraksts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C6482">
                    <w:rPr>
                      <w:b/>
                      <w:i/>
                      <w:lang w:val="lv-LV" w:eastAsia="lv-LV"/>
                    </w:rPr>
                    <w:t>Cena par vienību, EUR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C6482">
                    <w:rPr>
                      <w:b/>
                      <w:i/>
                      <w:lang w:val="lv-LV" w:eastAsia="lv-LV"/>
                    </w:rPr>
                    <w:t>Vienību skaits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b/>
                      <w:i/>
                      <w:lang w:val="lv-LV" w:eastAsia="lv-LV"/>
                    </w:rPr>
                  </w:pPr>
                  <w:r w:rsidRPr="008C6482">
                    <w:rPr>
                      <w:b/>
                      <w:i/>
                      <w:lang w:val="lv-LV" w:eastAsia="lv-LV"/>
                    </w:rPr>
                    <w:t>Kopējā cena, EUR (bez PVN)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</w:pPr>
                  <w:r w:rsidRPr="008C6482">
                    <w:rPr>
                      <w:b/>
                      <w:i/>
                      <w:lang w:val="lv-LV" w:eastAsia="lv-LV"/>
                    </w:rPr>
                    <w:t>Piezīmes</w:t>
                  </w: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 xml:space="preserve">1,6 m platas ietves bruģēšana (iekļaujot materiāla un transporta izdevumus, darbu, smilšu un šķembu </w:t>
                  </w:r>
                  <w:proofErr w:type="spellStart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kātras</w:t>
                  </w:r>
                  <w:proofErr w:type="spellEnd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), visā ielas posma (~765m) garumā, m2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35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1224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42840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lang w:val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Visu materiālu un darbu cenas noteiktas orientējoši, izmantojot  vairāku piegādātāju publiski pieejamo informāciju. Būvdarbu apjomi precizējami projektā.</w:t>
                  </w: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 xml:space="preserve">Betona apmaļu ierīkošana, visā ielas posma (~765m) garumā, abās ietves pusēs,  </w:t>
                  </w:r>
                  <w:proofErr w:type="spellStart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tek.m</w:t>
                  </w:r>
                  <w:proofErr w:type="spellEnd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10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765x2=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bookmarkStart w:id="0" w:name="_GoBack"/>
                  <w:bookmarkEnd w:id="0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15300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Visu materiālu un darbu cenas noteiktas orientējoši, izmantojot  vairāku piegādātāju publiski pieejamo informāciju. Būvdarbu apjomi precizējami projektā.</w:t>
                  </w: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 xml:space="preserve">Zaļās zonas un labiekārtojuma elementi (atkritumu urnas,  soliņi, </w:t>
                  </w:r>
                  <w:proofErr w:type="spellStart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velostatīvi</w:t>
                  </w:r>
                  <w:proofErr w:type="spellEnd"/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 xml:space="preserve"> pie pašvaldības izglītības iestādēm, ietvi no brauktuves atdaloši stabiņi, ja nepieciešams) ierīkošana, m2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50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Līdz 12500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Būvdarbu apjomi un elementu specifikācijas  precizējamas projektā.</w:t>
                  </w: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Citi ar ietves izbūvi saistīti izdevumi (zemes darbi, drenāža, inženierkomunikāciju akas, lietus ūdens novadīšana utt.)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Līdz 12500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Būvdarbu apjomi un elementu specifikācijas  precizējamas projektā.</w:t>
                  </w: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Gājēju pārejas ierīkošana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6000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1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6000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Būvdarbu apjomi un elementu specifikācijas  precizējamas projektā.</w:t>
                  </w: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Projektēšanas un būvuzraudzības izmaksas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Līdz 10 000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lang w:val="lv-LV" w:eastAsia="lv-LV"/>
                    </w:rPr>
                    <w:t>PAVISAM KOPĀ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  <w:r w:rsidRPr="008C6482">
                    <w:rPr>
                      <w:i/>
                      <w:shd w:val="clear" w:color="auto" w:fill="FFFF00"/>
                      <w:lang w:val="lv-LV" w:eastAsia="lv-LV"/>
                    </w:rPr>
                    <w:t>Līdz 100000</w:t>
                  </w: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</w:tr>
            <w:tr w:rsidR="008C6482" w:rsidRPr="008C6482" w:rsidTr="00321BF7">
              <w:tc>
                <w:tcPr>
                  <w:tcW w:w="28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jc w:val="both"/>
                    <w:textAlignment w:val="baseline"/>
                    <w:rPr>
                      <w:i/>
                      <w:lang w:val="lv-LV" w:eastAsia="lv-LV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8C6482" w:rsidRPr="008C6482" w:rsidRDefault="008C6482" w:rsidP="00321BF7">
                  <w:pPr>
                    <w:snapToGrid w:val="0"/>
                    <w:jc w:val="both"/>
                    <w:textAlignment w:val="baseline"/>
                    <w:rPr>
                      <w:i/>
                      <w:shd w:val="clear" w:color="auto" w:fill="FFFF00"/>
                      <w:lang w:val="lv-LV" w:eastAsia="lv-LV"/>
                    </w:rPr>
                  </w:pPr>
                </w:p>
              </w:tc>
            </w:tr>
          </w:tbl>
          <w:p w:rsidR="008C6482" w:rsidRPr="008C6482" w:rsidRDefault="008C6482" w:rsidP="00321BF7">
            <w:pPr>
              <w:jc w:val="both"/>
              <w:textAlignment w:val="baseline"/>
              <w:rPr>
                <w:i/>
                <w:lang w:val="lv-LV" w:eastAsia="lv-LV"/>
              </w:rPr>
            </w:pPr>
          </w:p>
          <w:p w:rsidR="008C6482" w:rsidRPr="008C6482" w:rsidRDefault="008C6482" w:rsidP="00321BF7">
            <w:pPr>
              <w:ind w:left="720"/>
              <w:jc w:val="both"/>
              <w:textAlignment w:val="baseline"/>
              <w:rPr>
                <w:i/>
                <w:lang w:val="lv-LV" w:eastAsia="lv-LV"/>
              </w:rPr>
            </w:pPr>
            <w:r w:rsidRPr="008C6482">
              <w:rPr>
                <w:i/>
                <w:lang w:val="lv-LV" w:eastAsia="lv-LV"/>
              </w:rPr>
              <w:t>Piezīme. Dotās izmaksas ir uzskatāmas par tuvinātu aplēsi, kuras mērķis ir parādīt, ka projekta izmaksas aptuveni iekļaujas konkursa nolikumā minētajā finansējuma apjomā. Reālās izmaksas nosakāmas iepirkuma procedūrās atbilstoši LR likumdošanai.</w:t>
            </w:r>
          </w:p>
          <w:p w:rsidR="008C6482" w:rsidRPr="008C6482" w:rsidRDefault="008C6482" w:rsidP="00321BF7">
            <w:pPr>
              <w:ind w:left="720"/>
              <w:jc w:val="both"/>
              <w:textAlignment w:val="baseline"/>
              <w:rPr>
                <w:i/>
                <w:lang w:val="lv-LV" w:eastAsia="lv-LV"/>
              </w:rPr>
            </w:pPr>
          </w:p>
          <w:p w:rsidR="008C6482" w:rsidRPr="008C6482" w:rsidRDefault="008C6482" w:rsidP="00321BF7">
            <w:pPr>
              <w:ind w:left="720"/>
              <w:jc w:val="both"/>
              <w:textAlignment w:val="baseline"/>
              <w:rPr>
                <w:i/>
                <w:lang w:val="lv-LV" w:eastAsia="lv-LV"/>
              </w:rPr>
            </w:pPr>
          </w:p>
          <w:p w:rsidR="008C6482" w:rsidRPr="008C6482" w:rsidRDefault="008C6482" w:rsidP="008C6482">
            <w:pPr>
              <w:numPr>
                <w:ilvl w:val="0"/>
                <w:numId w:val="1"/>
              </w:numPr>
              <w:jc w:val="both"/>
              <w:textAlignment w:val="baseline"/>
              <w:rPr>
                <w:i/>
                <w:lang w:val="lv-LV" w:eastAsia="lv-LV"/>
              </w:rPr>
            </w:pPr>
            <w:r w:rsidRPr="008C6482">
              <w:rPr>
                <w:i/>
                <w:lang w:val="lv-LV" w:eastAsia="lv-LV"/>
              </w:rPr>
              <w:t>Ikgadējās uzturēšanas izmaksas (ja paredzamas) – ekvivalentas pārējo Rīgas ietvju uzturēšanas izmaksām, precizēt Rīgas domes Satiksmes departamentā _____ EUR</w:t>
            </w:r>
          </w:p>
          <w:p w:rsidR="008C6482" w:rsidRPr="00FB452C" w:rsidRDefault="008C6482" w:rsidP="00321BF7">
            <w:pPr>
              <w:jc w:val="both"/>
              <w:textAlignment w:val="baseline"/>
              <w:rPr>
                <w:i/>
                <w:lang w:val="lv-LV" w:eastAsia="lv-LV"/>
              </w:rPr>
            </w:pPr>
          </w:p>
        </w:tc>
      </w:tr>
    </w:tbl>
    <w:p w:rsidR="00427CC3" w:rsidRPr="008C6482" w:rsidRDefault="00427CC3">
      <w:pPr>
        <w:rPr>
          <w:lang w:val="lv-LV"/>
        </w:rPr>
      </w:pPr>
    </w:p>
    <w:sectPr w:rsidR="00427CC3" w:rsidRPr="008C64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82"/>
    <w:rsid w:val="00427CC3"/>
    <w:rsid w:val="008C6482"/>
    <w:rsid w:val="009C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332CC8C-3F07-45BE-B5CA-86F6DD9E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8C64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1240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Marija Melne</dc:creator>
  <cp:keywords/>
  <dc:description/>
  <cp:lastModifiedBy>Anna Marija Melne</cp:lastModifiedBy>
  <cp:revision>1</cp:revision>
  <dcterms:created xsi:type="dcterms:W3CDTF">2019-07-26T09:15:00Z</dcterms:created>
  <dcterms:modified xsi:type="dcterms:W3CDTF">2019-07-26T09:16:00Z</dcterms:modified>
</cp:coreProperties>
</file>