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234BD6C5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262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5671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Dārziņu mežs – priekam un atpūtai</w:t>
            </w:r>
            <w:r w:rsidR="00E262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9B06A" w14:textId="77777777" w:rsidR="009E7EAE" w:rsidRPr="006F2620" w:rsidRDefault="009E7EAE" w:rsidP="009E7EA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70F1BA95" w14:textId="7AEBE037" w:rsidR="009E7EAE" w:rsidRPr="006F2620" w:rsidRDefault="009E7EAE" w:rsidP="009E7EA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arborista piesaiste atzinuma sniegšanai par teritorijā esošo koku sakņu aizsardzības zonām</w:t>
            </w:r>
            <w:r w:rsidR="00D532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(pēc nepieciešamības)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1 līdz 2 mēneši;</w:t>
            </w:r>
          </w:p>
          <w:p w14:paraId="048FCB70" w14:textId="77777777" w:rsidR="009E7EAE" w:rsidRPr="006F2620" w:rsidRDefault="009E7EAE" w:rsidP="009E7EA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dokumentācijas izstrāde (paskaidrojuma raksta projekts) un saskaņošana Rīgas domes Pilsētas attīstības departamentā – 3 līdz 5 mēneši.</w:t>
            </w:r>
          </w:p>
          <w:p w14:paraId="1B7C2AFB" w14:textId="77777777" w:rsidR="009E7EAE" w:rsidRPr="006F2620" w:rsidRDefault="009E7EAE" w:rsidP="009E7EA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 3 mēneši, ja netiek apstrīdēti iepirkuma rezultāti</w:t>
            </w:r>
          </w:p>
          <w:p w14:paraId="0589A7DE" w14:textId="77777777" w:rsidR="009E7EAE" w:rsidRPr="006F2620" w:rsidRDefault="009E7EAE" w:rsidP="009E7EA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0CF9AA78" w14:textId="77777777" w:rsidR="009E7EAE" w:rsidRPr="006F2620" w:rsidRDefault="009E7EAE" w:rsidP="009E7EA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laukuma inspektora speļu laukuma pecuzturēšanas parbaudes atzinums – 1 nedēļa;</w:t>
            </w:r>
          </w:p>
          <w:p w14:paraId="610D879F" w14:textId="77777777" w:rsidR="009E7EAE" w:rsidRPr="006F2620" w:rsidRDefault="009E7EAE" w:rsidP="009E7EA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5F18CA48" w14:textId="77777777" w:rsidR="009E7EAE" w:rsidRPr="00B52363" w:rsidRDefault="009E7EAE" w:rsidP="009E7EAE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55151F18" w14:textId="77777777" w:rsidR="009E7EAE" w:rsidRPr="00B52363" w:rsidRDefault="009E7EAE" w:rsidP="009E7EAE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8B9FFD2" w:rsidR="004E3335" w:rsidRPr="004E3335" w:rsidRDefault="009E7EA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sym w:font="Wingdings 2" w:char="F054"/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9E7EAE" w:rsidRPr="004E3335" w14:paraId="45ABD72E" w14:textId="77777777" w:rsidTr="009E7EAE">
        <w:trPr>
          <w:trHeight w:val="3409"/>
        </w:trPr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B6C78F" w14:textId="77777777" w:rsidR="009E7EAE" w:rsidRPr="00B52363" w:rsidRDefault="009E7EAE" w:rsidP="009E7EA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50125DD0" w14:textId="77777777" w:rsidR="009E7EAE" w:rsidRDefault="009E7EAE" w:rsidP="009E7EA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sertificēta arborista piesaiste atzinuma sniegšanai par teritorijā </w:t>
            </w:r>
            <w:bookmarkStart w:id="0" w:name="_Hlk80950485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esošo koku sakņu aizsardzības zonā</w:t>
            </w:r>
            <w:bookmarkEnd w:id="0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(pēc nepieciešamības)</w:t>
            </w: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BA5DC7C" w14:textId="77777777" w:rsidR="009E7EAE" w:rsidRPr="00B52363" w:rsidRDefault="009E7EAE" w:rsidP="009E7EA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paskaidrojuma raksta projekta izstrāde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departamentā;</w:t>
            </w:r>
          </w:p>
          <w:p w14:paraId="55087EC7" w14:textId="77777777" w:rsidR="009E7EAE" w:rsidRPr="00B52363" w:rsidRDefault="009E7EAE" w:rsidP="009E7EA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41F46A57" w14:textId="77777777" w:rsidR="009E7EAE" w:rsidRDefault="009E7EAE" w:rsidP="009E7EA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58A06179" w14:textId="77777777" w:rsidR="009E7EAE" w:rsidRPr="00B52363" w:rsidRDefault="009E7EAE" w:rsidP="009E7EA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laukumu inspektora pēcuzturēšanas pārbaudes atzinums;</w:t>
            </w:r>
          </w:p>
          <w:p w14:paraId="1BC83EF1" w14:textId="77777777" w:rsidR="009E7EAE" w:rsidRPr="00B52363" w:rsidRDefault="009E7EAE" w:rsidP="009E7EA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7104173" w14:textId="7254044A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E7EAE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9E7EAE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9E7EAE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9E7EAE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E7EAE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470144EA" w:rsidR="009E7EAE" w:rsidRPr="00B52363" w:rsidRDefault="009E7EAE" w:rsidP="009E7EAE">
            <w:pPr>
              <w:ind w:right="140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70 000.00 EUR</w:t>
            </w:r>
          </w:p>
          <w:p w14:paraId="772FFD9F" w14:textId="5078DEE3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E7EAE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49BDF" w14:textId="77777777" w:rsidR="00D53220" w:rsidRDefault="009E7EAE" w:rsidP="00D532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5322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="00D53220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="00D53220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D53220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="00D53220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 w:rsidR="00D53220">
              <w:rPr>
                <w:rFonts w:ascii="Times New Roman" w:hAnsi="Times New Roman" w:cs="Times New Roman"/>
                <w:sz w:val="26"/>
                <w:szCs w:val="26"/>
              </w:rPr>
              <w:t xml:space="preserve">.  Kā arī projekta pieteikuma tāmē nav pievienota pozīcija “neatkarīga, sertificēta spēļu laukumu inspektora spēļu laukuma </w:t>
            </w:r>
            <w:proofErr w:type="spellStart"/>
            <w:r w:rsidR="00D53220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="00D53220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atzinums”.</w:t>
            </w:r>
          </w:p>
          <w:p w14:paraId="3ED19AA4" w14:textId="241C81CC" w:rsidR="009E7EAE" w:rsidRPr="004E3335" w:rsidRDefault="009E7EAE" w:rsidP="009E7E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4A5515"/>
    <w:rsid w:val="004E10FE"/>
    <w:rsid w:val="004E3335"/>
    <w:rsid w:val="00554ACC"/>
    <w:rsid w:val="0056714E"/>
    <w:rsid w:val="00575B5D"/>
    <w:rsid w:val="005773DC"/>
    <w:rsid w:val="00636560"/>
    <w:rsid w:val="006F0040"/>
    <w:rsid w:val="0072665B"/>
    <w:rsid w:val="008372A2"/>
    <w:rsid w:val="00966E9C"/>
    <w:rsid w:val="009E7EAE"/>
    <w:rsid w:val="00A96CEF"/>
    <w:rsid w:val="00B52363"/>
    <w:rsid w:val="00C20DB1"/>
    <w:rsid w:val="00D53220"/>
    <w:rsid w:val="00DB6991"/>
    <w:rsid w:val="00E2627D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2022-08-16T06:33:00Z</dcterms:created>
  <dcterms:modified xsi:type="dcterms:W3CDTF">2022-08-16T06:33:00Z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