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DA5B" w14:textId="77777777" w:rsidR="00FA6F0E" w:rsidRPr="003666B6" w:rsidRDefault="00FA6F0E" w:rsidP="00FA6F0E">
      <w:pPr>
        <w:jc w:val="right"/>
        <w:rPr>
          <w:b/>
          <w:bCs/>
        </w:rPr>
      </w:pPr>
      <w:r w:rsidRPr="003666B6">
        <w:rPr>
          <w:b/>
          <w:bCs/>
        </w:rPr>
        <w:t>IZRAKSTS</w:t>
      </w:r>
    </w:p>
    <w:p w14:paraId="6F98B963" w14:textId="77777777" w:rsidR="00FA6F0E" w:rsidRDefault="00912C60" w:rsidP="00FA6F0E">
      <w:pPr>
        <w:spacing w:before="100"/>
        <w:jc w:val="center"/>
        <w:rPr>
          <w:sz w:val="22"/>
          <w:szCs w:val="22"/>
        </w:rPr>
      </w:pPr>
      <w:r>
        <w:fldChar w:fldCharType="begin"/>
      </w:r>
      <w:r>
        <w:instrText xml:space="preserve"> </w:instrText>
      </w:r>
      <w:r>
        <w:instrText>INCLUDEPICTURE  "C:\\Users\\ligita.logina\\Desktop\\Protokola izraksti\\AppData\\Local\\Microsoft\\Windows\\INetCache\\Content.Outlook\\AppData\\Local\\RDLIS\\Rigas_gerbonis.JPG" \* MERGEFORMATINET</w:instrText>
      </w:r>
      <w:r>
        <w:instrText xml:space="preserve"> </w:instrText>
      </w:r>
      <w:r>
        <w:fldChar w:fldCharType="separate"/>
      </w:r>
      <w:r>
        <w:pict w14:anchorId="3880C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6" r:href="rId7"/>
          </v:shape>
        </w:pict>
      </w:r>
      <w:r>
        <w:fldChar w:fldCharType="end"/>
      </w:r>
    </w:p>
    <w:p w14:paraId="510CED1F" w14:textId="77777777" w:rsidR="00FA6F0E" w:rsidRDefault="00FA6F0E" w:rsidP="00FA6F0E">
      <w:pPr>
        <w:spacing w:before="100"/>
        <w:jc w:val="center"/>
        <w:rPr>
          <w:sz w:val="22"/>
          <w:szCs w:val="22"/>
        </w:rPr>
      </w:pPr>
      <w:r>
        <w:rPr>
          <w:sz w:val="22"/>
          <w:szCs w:val="22"/>
        </w:rPr>
        <w:t>RĪGAS DOME</w:t>
      </w:r>
    </w:p>
    <w:p w14:paraId="77F1964D" w14:textId="77777777" w:rsidR="00FA6F0E" w:rsidRDefault="00FA6F0E" w:rsidP="00FA6F0E">
      <w:pPr>
        <w:jc w:val="center"/>
        <w:rPr>
          <w:sz w:val="6"/>
          <w:szCs w:val="6"/>
        </w:rPr>
      </w:pPr>
    </w:p>
    <w:p w14:paraId="0A1FF239" w14:textId="77777777" w:rsidR="00FA6F0E" w:rsidRDefault="00FA6F0E" w:rsidP="00FA6F0E">
      <w:pPr>
        <w:pStyle w:val="Parakstszemobjekta"/>
      </w:pPr>
      <w:r>
        <w:t>RĪGAS PILSĒTAS LĪDZDALĪBAS BUDŽETA PROJEKTU IDEJU ĪSTENOŠANAS KONKURSA VĒRTĒŠANAS KOMISIJA</w:t>
      </w:r>
    </w:p>
    <w:p w14:paraId="069C3E11" w14:textId="77777777" w:rsidR="00FA6F0E" w:rsidRDefault="00FA6F0E" w:rsidP="00FA6F0E">
      <w:pPr>
        <w:jc w:val="center"/>
        <w:rPr>
          <w:sz w:val="10"/>
          <w:szCs w:val="10"/>
        </w:rPr>
      </w:pPr>
    </w:p>
    <w:p w14:paraId="3305BEFC" w14:textId="77777777" w:rsidR="00FA6F0E" w:rsidRDefault="00FA6F0E" w:rsidP="00FA6F0E">
      <w:pPr>
        <w:tabs>
          <w:tab w:val="left" w:pos="39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Rātslaukums 1, Rīgā, LV-1539, tālrunis 67037647, e-pasts: konkurss.apkaimes@riga.lv</w:t>
      </w:r>
    </w:p>
    <w:p w14:paraId="7E7C94D9" w14:textId="77777777" w:rsidR="00FA6F0E" w:rsidRPr="009F2FB4" w:rsidRDefault="00FA6F0E" w:rsidP="00FA6F0E"/>
    <w:p w14:paraId="0C6737BB" w14:textId="77777777" w:rsidR="00FA6F0E" w:rsidRPr="009F2FB4" w:rsidRDefault="00FA6F0E" w:rsidP="00FA6F0E">
      <w:pPr>
        <w:pStyle w:val="Parakstszemobjekta"/>
      </w:pPr>
      <w:r w:rsidRPr="009F2FB4">
        <w:t>Sēdes protokols</w:t>
      </w:r>
    </w:p>
    <w:p w14:paraId="71B43A0C" w14:textId="77777777" w:rsidR="00F620FB" w:rsidRPr="009F2FB4" w:rsidRDefault="00F620FB" w:rsidP="00454E88">
      <w:pPr>
        <w:tabs>
          <w:tab w:val="left" w:pos="3960"/>
        </w:tabs>
      </w:pPr>
    </w:p>
    <w:p w14:paraId="2A23E1B6" w14:textId="77777777" w:rsidR="00F620FB" w:rsidRPr="009F2FB4" w:rsidRDefault="00F620FB" w:rsidP="00454E88">
      <w:pPr>
        <w:tabs>
          <w:tab w:val="left" w:pos="1440"/>
          <w:tab w:val="center" w:pos="4629"/>
        </w:tabs>
        <w:ind w:firstLine="0"/>
        <w:jc w:val="center"/>
      </w:pPr>
      <w:r w:rsidRPr="009F2FB4"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F620FB" w:rsidRPr="009F2FB4" w14:paraId="29D897F6" w14:textId="77777777" w:rsidTr="008C5993">
        <w:tc>
          <w:tcPr>
            <w:tcW w:w="3708" w:type="dxa"/>
          </w:tcPr>
          <w:p w14:paraId="3D96C6A1" w14:textId="3DAB63B3" w:rsidR="00F620FB" w:rsidRPr="00D944C3" w:rsidRDefault="00013728" w:rsidP="00643149">
            <w:pPr>
              <w:ind w:left="-105" w:firstLine="0"/>
              <w:rPr>
                <w:highlight w:val="yellow"/>
              </w:rPr>
            </w:pPr>
            <w:r w:rsidRPr="00013728">
              <w:t>14.</w:t>
            </w:r>
            <w:r w:rsidR="00E73E6C" w:rsidRPr="00013728">
              <w:t>0</w:t>
            </w:r>
            <w:r w:rsidR="008D1956" w:rsidRPr="00013728">
              <w:t>9</w:t>
            </w:r>
            <w:r w:rsidR="00E73E6C" w:rsidRPr="00013728">
              <w:t>.2022</w:t>
            </w:r>
          </w:p>
        </w:tc>
        <w:tc>
          <w:tcPr>
            <w:tcW w:w="3513" w:type="dxa"/>
          </w:tcPr>
          <w:p w14:paraId="5C4EDB37" w14:textId="77777777" w:rsidR="00F620FB" w:rsidRPr="009F2FB4" w:rsidRDefault="00F620FB" w:rsidP="00454E88">
            <w:pPr>
              <w:jc w:val="right"/>
            </w:pPr>
          </w:p>
        </w:tc>
        <w:tc>
          <w:tcPr>
            <w:tcW w:w="2253" w:type="dxa"/>
          </w:tcPr>
          <w:p w14:paraId="583CA6D1" w14:textId="01B03C7E" w:rsidR="00F620FB" w:rsidRPr="009F2FB4" w:rsidRDefault="00F620FB" w:rsidP="00454E88">
            <w:pPr>
              <w:jc w:val="right"/>
            </w:pPr>
            <w:r w:rsidRPr="009F2FB4">
              <w:t xml:space="preserve">Nr. </w:t>
            </w:r>
            <w:r w:rsidR="008D1956">
              <w:t>5</w:t>
            </w:r>
          </w:p>
        </w:tc>
      </w:tr>
    </w:tbl>
    <w:p w14:paraId="0B45A6BC" w14:textId="77777777" w:rsidR="00AB2529" w:rsidRPr="00F001FD" w:rsidRDefault="00AB2529" w:rsidP="00454E88">
      <w:pPr>
        <w:ind w:firstLine="0"/>
      </w:pPr>
    </w:p>
    <w:p w14:paraId="0A1A4381" w14:textId="6D7D81A0" w:rsidR="00AB2529" w:rsidRPr="00F001FD" w:rsidRDefault="00AB2529" w:rsidP="008C5993">
      <w:pPr>
        <w:ind w:firstLine="0"/>
        <w:jc w:val="both"/>
        <w:rPr>
          <w:i/>
          <w:iCs/>
        </w:rPr>
      </w:pPr>
      <w:r w:rsidRPr="00F001FD">
        <w:rPr>
          <w:i/>
          <w:iCs/>
        </w:rPr>
        <w:t xml:space="preserve">Sēde notiek </w:t>
      </w:r>
      <w:r w:rsidR="00A3222F">
        <w:rPr>
          <w:i/>
          <w:iCs/>
        </w:rPr>
        <w:t xml:space="preserve">attālināti, saskaņojot protokolu un balsojot </w:t>
      </w:r>
      <w:r w:rsidRPr="00F001FD">
        <w:rPr>
          <w:i/>
          <w:iCs/>
        </w:rPr>
        <w:t xml:space="preserve">ar e-pasta starpniecību. </w:t>
      </w:r>
    </w:p>
    <w:p w14:paraId="2C9C7119" w14:textId="77777777" w:rsidR="00AB2529" w:rsidRPr="00F001FD" w:rsidRDefault="00AB2529" w:rsidP="00454E88"/>
    <w:p w14:paraId="08AB9FA1" w14:textId="77777777" w:rsidR="00AB2529" w:rsidRPr="00F001FD" w:rsidRDefault="00AB2529" w:rsidP="00454E88">
      <w:pPr>
        <w:ind w:firstLine="0"/>
      </w:pPr>
      <w:r w:rsidRPr="00F001FD">
        <w:t xml:space="preserve">Sēdē piedalās (sēdes protokols ir nosūtīts): </w:t>
      </w:r>
    </w:p>
    <w:tbl>
      <w:tblPr>
        <w:tblW w:w="7863" w:type="dxa"/>
        <w:tblLook w:val="0000" w:firstRow="0" w:lastRow="0" w:firstColumn="0" w:lastColumn="0" w:noHBand="0" w:noVBand="0"/>
      </w:tblPr>
      <w:tblGrid>
        <w:gridCol w:w="7863"/>
      </w:tblGrid>
      <w:tr w:rsidR="00AB2529" w:rsidRPr="00F001FD" w14:paraId="18438FBB" w14:textId="77777777" w:rsidTr="008C5993">
        <w:tc>
          <w:tcPr>
            <w:tcW w:w="7863" w:type="dxa"/>
          </w:tcPr>
          <w:p w14:paraId="3B17AB45" w14:textId="2A3CD33C" w:rsidR="00AB2529" w:rsidRPr="00F001FD" w:rsidRDefault="00AB2529" w:rsidP="00454E88">
            <w:r w:rsidRPr="00F001FD">
              <w:t xml:space="preserve">Komisijas priekšsēdētāja Rita </w:t>
            </w:r>
            <w:r w:rsidR="00A85EBA">
              <w:t>Grieķere</w:t>
            </w:r>
            <w:r w:rsidR="008C5993">
              <w:t>;</w:t>
            </w:r>
          </w:p>
          <w:p w14:paraId="1612505C" w14:textId="3928A3B6" w:rsidR="00AB2529" w:rsidRPr="00F001FD" w:rsidRDefault="00AB2529" w:rsidP="00454E88">
            <w:r w:rsidRPr="00F001FD">
              <w:t>Komisijas priekšsēdētājas vietniece Ilona Stalidzāne</w:t>
            </w:r>
            <w:r w:rsidR="008C5993">
              <w:t>;</w:t>
            </w:r>
          </w:p>
          <w:p w14:paraId="57A1882D" w14:textId="77777777" w:rsidR="00AB2529" w:rsidRPr="00F001FD" w:rsidRDefault="00AB2529" w:rsidP="00454E88">
            <w:r w:rsidRPr="00F001FD">
              <w:t>Komisijas locekļi:</w:t>
            </w:r>
          </w:p>
          <w:p w14:paraId="6AF20D5F" w14:textId="16E76B14" w:rsidR="00AB2529" w:rsidRPr="00F001FD" w:rsidRDefault="00AB2529" w:rsidP="00454E88">
            <w:pPr>
              <w:ind w:left="720"/>
            </w:pPr>
            <w:r w:rsidRPr="00F001FD">
              <w:t xml:space="preserve">Madara </w:t>
            </w:r>
            <w:r w:rsidR="002910AA">
              <w:t>Andrejeva</w:t>
            </w:r>
            <w:r w:rsidRPr="00F001FD">
              <w:t>;</w:t>
            </w:r>
          </w:p>
          <w:p w14:paraId="62F7EC59" w14:textId="77777777" w:rsidR="00AB2529" w:rsidRPr="00F001FD" w:rsidRDefault="00AB2529" w:rsidP="00454E88">
            <w:pPr>
              <w:ind w:left="720"/>
            </w:pPr>
            <w:r w:rsidRPr="00F001FD">
              <w:t>Inita Bārtule;</w:t>
            </w:r>
          </w:p>
          <w:p w14:paraId="5C32EF77" w14:textId="77777777" w:rsidR="00AB2529" w:rsidRPr="00BE35E0" w:rsidRDefault="00AB2529" w:rsidP="00454E88">
            <w:pPr>
              <w:ind w:left="720"/>
            </w:pPr>
            <w:r w:rsidRPr="00BE35E0">
              <w:t>Aija Kalniņa;</w:t>
            </w:r>
          </w:p>
          <w:p w14:paraId="29199FF8" w14:textId="77777777" w:rsidR="00AB2529" w:rsidRPr="00BE35E0" w:rsidRDefault="00AB2529" w:rsidP="00454E88">
            <w:pPr>
              <w:ind w:left="720"/>
            </w:pPr>
            <w:r w:rsidRPr="00BE35E0">
              <w:t xml:space="preserve">Agnese Valkere; </w:t>
            </w:r>
          </w:p>
          <w:p w14:paraId="35100162" w14:textId="763E0B30" w:rsidR="00AB2529" w:rsidRPr="00BE35E0" w:rsidRDefault="00AB2529" w:rsidP="00454E88">
            <w:pPr>
              <w:ind w:left="720"/>
            </w:pPr>
            <w:r w:rsidRPr="00BE35E0">
              <w:t>Elīna</w:t>
            </w:r>
            <w:r w:rsidR="00264C80" w:rsidRPr="00BE35E0">
              <w:t xml:space="preserve"> </w:t>
            </w:r>
            <w:r w:rsidR="004204F4" w:rsidRPr="00BE35E0">
              <w:t>Dubiņina</w:t>
            </w:r>
            <w:r w:rsidRPr="00BE35E0">
              <w:t>;</w:t>
            </w:r>
          </w:p>
          <w:p w14:paraId="771CDF56" w14:textId="77777777" w:rsidR="00AB2529" w:rsidRPr="00BE35E0" w:rsidRDefault="00AB2529" w:rsidP="00454E88">
            <w:pPr>
              <w:ind w:left="720"/>
            </w:pPr>
            <w:r w:rsidRPr="00BE35E0">
              <w:t>Māris Jansons;</w:t>
            </w:r>
          </w:p>
          <w:p w14:paraId="2DD51507" w14:textId="77777777" w:rsidR="004204F4" w:rsidRPr="00BE35E0" w:rsidRDefault="004204F4" w:rsidP="004204F4">
            <w:pPr>
              <w:ind w:left="720"/>
            </w:pPr>
            <w:r w:rsidRPr="00BE35E0">
              <w:t>Karīna Jansone;</w:t>
            </w:r>
          </w:p>
          <w:p w14:paraId="62947E3D" w14:textId="77777777" w:rsidR="004204F4" w:rsidRPr="00BE35E0" w:rsidRDefault="004204F4" w:rsidP="004204F4">
            <w:pPr>
              <w:ind w:left="720"/>
            </w:pPr>
            <w:r w:rsidRPr="00BE35E0">
              <w:t>Ilze Krēmere;</w:t>
            </w:r>
          </w:p>
          <w:p w14:paraId="2BE0EB14" w14:textId="3AF945B2" w:rsidR="00AB2529" w:rsidRPr="00BE35E0" w:rsidRDefault="004204F4" w:rsidP="004204F4">
            <w:pPr>
              <w:ind w:left="720"/>
            </w:pPr>
            <w:r w:rsidRPr="00BE35E0">
              <w:t>Libērijs Počs;</w:t>
            </w:r>
          </w:p>
          <w:p w14:paraId="42B908ED" w14:textId="1BB24DD3" w:rsidR="004204F4" w:rsidRPr="00BE35E0" w:rsidRDefault="004204F4" w:rsidP="004204F4">
            <w:pPr>
              <w:ind w:left="720"/>
            </w:pPr>
            <w:r w:rsidRPr="00BE35E0">
              <w:t>Rūdolfs Golubovs;</w:t>
            </w:r>
          </w:p>
          <w:p w14:paraId="226046B6" w14:textId="74BA48DE" w:rsidR="004204F4" w:rsidRPr="00F001FD" w:rsidRDefault="004204F4" w:rsidP="004204F4">
            <w:pPr>
              <w:ind w:left="720"/>
            </w:pPr>
            <w:r w:rsidRPr="00BE35E0">
              <w:t>Mārtiņš Sarvuts.</w:t>
            </w:r>
          </w:p>
          <w:p w14:paraId="6EA73927" w14:textId="77777777" w:rsidR="00AB2529" w:rsidRPr="00F001FD" w:rsidRDefault="00AB2529" w:rsidP="00454E88">
            <w:pPr>
              <w:ind w:left="720"/>
            </w:pPr>
          </w:p>
          <w:p w14:paraId="20487F2C" w14:textId="77777777" w:rsidR="00AB2529" w:rsidRPr="00F001FD" w:rsidRDefault="00AB2529" w:rsidP="00454E88">
            <w:r w:rsidRPr="00F001FD">
              <w:t>Juriste Diāna Puša.</w:t>
            </w:r>
          </w:p>
        </w:tc>
      </w:tr>
    </w:tbl>
    <w:p w14:paraId="72EDBD1E" w14:textId="77777777" w:rsidR="00AB2529" w:rsidRPr="00F001FD" w:rsidRDefault="00AB2529" w:rsidP="00454E88">
      <w:pPr>
        <w:ind w:firstLine="0"/>
      </w:pPr>
    </w:p>
    <w:tbl>
      <w:tblPr>
        <w:tblpPr w:leftFromText="180" w:rightFromText="180" w:vertAnchor="text" w:horzAnchor="margin" w:tblpY="74"/>
        <w:tblW w:w="0" w:type="auto"/>
        <w:tblLook w:val="0000" w:firstRow="0" w:lastRow="0" w:firstColumn="0" w:lastColumn="0" w:noHBand="0" w:noVBand="0"/>
      </w:tblPr>
      <w:tblGrid>
        <w:gridCol w:w="2127"/>
        <w:gridCol w:w="6846"/>
      </w:tblGrid>
      <w:tr w:rsidR="00AB2529" w:rsidRPr="00F001FD" w14:paraId="298B5EBD" w14:textId="77777777" w:rsidTr="001726D6">
        <w:tc>
          <w:tcPr>
            <w:tcW w:w="2127" w:type="dxa"/>
          </w:tcPr>
          <w:p w14:paraId="257D0CFB" w14:textId="77777777" w:rsidR="00AB2529" w:rsidRPr="00F001FD" w:rsidRDefault="00AB2529" w:rsidP="00552D3C">
            <w:pPr>
              <w:ind w:left="-105" w:firstLine="0"/>
            </w:pPr>
            <w:r w:rsidRPr="00F001FD">
              <w:t>Sēdi protokolē</w:t>
            </w:r>
          </w:p>
        </w:tc>
        <w:tc>
          <w:tcPr>
            <w:tcW w:w="6846" w:type="dxa"/>
          </w:tcPr>
          <w:p w14:paraId="4967AE02" w14:textId="09739EA4" w:rsidR="00AB2529" w:rsidRPr="00F001FD" w:rsidRDefault="00AB2529" w:rsidP="00454E88">
            <w:pPr>
              <w:ind w:firstLine="0"/>
            </w:pPr>
            <w:r w:rsidRPr="00F001FD">
              <w:t>Komisijas sekretār</w:t>
            </w:r>
            <w:r w:rsidR="004204F4">
              <w:t>e</w:t>
            </w:r>
            <w:r w:rsidRPr="00F001FD">
              <w:t xml:space="preserve"> </w:t>
            </w:r>
            <w:r w:rsidR="004204F4">
              <w:t>Ligita Petrova</w:t>
            </w:r>
          </w:p>
        </w:tc>
      </w:tr>
    </w:tbl>
    <w:p w14:paraId="4647D071" w14:textId="77777777" w:rsidR="004204F4" w:rsidRPr="004204F4" w:rsidRDefault="004204F4" w:rsidP="004204F4">
      <w:pPr>
        <w:ind w:firstLine="0"/>
      </w:pPr>
    </w:p>
    <w:p w14:paraId="2586FFF0" w14:textId="77777777" w:rsidR="000A2835" w:rsidRDefault="000A2835" w:rsidP="00454E88">
      <w:pPr>
        <w:pStyle w:val="Virsraksts1"/>
      </w:pPr>
    </w:p>
    <w:p w14:paraId="415ADD6C" w14:textId="36D1B12E" w:rsidR="008B7079" w:rsidRPr="00F620FB" w:rsidRDefault="00D86FC6" w:rsidP="00454E88">
      <w:pPr>
        <w:pStyle w:val="Virsraksts1"/>
      </w:pPr>
      <w:r>
        <w:t>D</w:t>
      </w:r>
      <w:r w:rsidR="008B7079" w:rsidRPr="00F620FB">
        <w:t>arba kārtība:</w:t>
      </w:r>
    </w:p>
    <w:p w14:paraId="3B42412B" w14:textId="77CADDAB" w:rsidR="008B7079" w:rsidRDefault="008B7079" w:rsidP="00454E88">
      <w:pPr>
        <w:ind w:firstLine="0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9217"/>
      </w:tblGrid>
      <w:tr w:rsidR="008B7079" w14:paraId="667A466E" w14:textId="77777777" w:rsidTr="00DF2324">
        <w:tc>
          <w:tcPr>
            <w:tcW w:w="411" w:type="dxa"/>
          </w:tcPr>
          <w:p w14:paraId="7E876075" w14:textId="615957E9" w:rsidR="008B7079" w:rsidRPr="00DF2324" w:rsidRDefault="008B7079" w:rsidP="00454E88">
            <w:pPr>
              <w:ind w:firstLine="0"/>
            </w:pPr>
            <w:r w:rsidRPr="00DF2324">
              <w:t xml:space="preserve">1. </w:t>
            </w:r>
          </w:p>
        </w:tc>
        <w:tc>
          <w:tcPr>
            <w:tcW w:w="9217" w:type="dxa"/>
          </w:tcPr>
          <w:p w14:paraId="2A8C6137" w14:textId="26EE9316" w:rsidR="005F0CE0" w:rsidRPr="00DF2324" w:rsidRDefault="00DF2324" w:rsidP="00587DBE">
            <w:pPr>
              <w:pStyle w:val="Protokols"/>
              <w:jc w:val="both"/>
              <w:rPr>
                <w:b w:val="0"/>
              </w:rPr>
            </w:pPr>
            <w:r w:rsidRPr="00DF2324">
              <w:rPr>
                <w:b w:val="0"/>
              </w:rPr>
              <w:t xml:space="preserve">Par 35. projektu - </w:t>
            </w:r>
            <w:r w:rsidRPr="00DF2324">
              <w:rPr>
                <w:rFonts w:cs="Calibri"/>
                <w:b w:val="0"/>
              </w:rPr>
              <w:t xml:space="preserve">Anatomikuma laukuma iekārtojums un gājēju pāreja, </w:t>
            </w:r>
            <w:r w:rsidRPr="00DF2324">
              <w:rPr>
                <w:b w:val="0"/>
              </w:rPr>
              <w:t xml:space="preserve">iesniedzējs: </w:t>
            </w:r>
            <w:r w:rsidRPr="00DF2324">
              <w:rPr>
                <w:rFonts w:cs="Calibri"/>
                <w:b w:val="0"/>
              </w:rPr>
              <w:t>biedrība “Pētersala-Andrejsala”</w:t>
            </w:r>
            <w:r>
              <w:rPr>
                <w:rFonts w:cs="Calibri"/>
                <w:b w:val="0"/>
              </w:rPr>
              <w:t xml:space="preserve"> </w:t>
            </w:r>
            <w:r w:rsidRPr="00DF2324">
              <w:rPr>
                <w:b w:val="0"/>
              </w:rPr>
              <w:t>(atbildīgā iestāde: Teritorijas labiekārtošanas pārvalde).</w:t>
            </w:r>
          </w:p>
        </w:tc>
      </w:tr>
    </w:tbl>
    <w:p w14:paraId="3D7EA0FB" w14:textId="77777777" w:rsidR="00FA6F0E" w:rsidRPr="008C59B6" w:rsidRDefault="00FA6F0E" w:rsidP="00FA6F0E">
      <w:pPr>
        <w:pStyle w:val="Virsraksts1"/>
        <w:jc w:val="center"/>
      </w:pPr>
      <w:r w:rsidRPr="008C59B6">
        <w:t>[..]</w:t>
      </w:r>
    </w:p>
    <w:p w14:paraId="6840B037" w14:textId="34A0C584" w:rsidR="00C31B90" w:rsidRDefault="00C31B90" w:rsidP="00FA6F0E">
      <w:pPr>
        <w:ind w:firstLine="0"/>
        <w:jc w:val="center"/>
      </w:pPr>
    </w:p>
    <w:p w14:paraId="16C62023" w14:textId="49CBA79F" w:rsidR="00587DBE" w:rsidRDefault="00587DBE" w:rsidP="00454E88">
      <w:pPr>
        <w:ind w:firstLine="0"/>
      </w:pPr>
    </w:p>
    <w:p w14:paraId="24EA4E7D" w14:textId="77777777" w:rsidR="00587DBE" w:rsidRDefault="00587DBE" w:rsidP="00454E88">
      <w:pPr>
        <w:ind w:firstLine="0"/>
      </w:pPr>
    </w:p>
    <w:p w14:paraId="0C2B4B35" w14:textId="259B0B76" w:rsidR="004C32D0" w:rsidRPr="00EB4659" w:rsidRDefault="008B7079" w:rsidP="001C0A93">
      <w:pPr>
        <w:pStyle w:val="Virsraksts1"/>
        <w:jc w:val="center"/>
      </w:pPr>
      <w:r>
        <w:t>1. §</w:t>
      </w:r>
    </w:p>
    <w:p w14:paraId="7DFF50ED" w14:textId="69ADB0B0" w:rsidR="001C0A93" w:rsidRPr="001C0A93" w:rsidRDefault="001C0A93" w:rsidP="001C0A9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1C0A93">
        <w:rPr>
          <w:b/>
          <w:bCs/>
        </w:rPr>
        <w:t xml:space="preserve">Par 35. projektu - </w:t>
      </w:r>
      <w:r w:rsidRPr="001C0A93">
        <w:rPr>
          <w:rFonts w:cs="Calibri"/>
          <w:b/>
          <w:bCs/>
        </w:rPr>
        <w:t xml:space="preserve">Anatomikuma laukuma iekārtojums un gājēju pāreja, </w:t>
      </w:r>
      <w:r w:rsidRPr="001C0A93">
        <w:rPr>
          <w:b/>
          <w:bCs/>
        </w:rPr>
        <w:t xml:space="preserve">iesniedzējs: </w:t>
      </w:r>
      <w:r w:rsidRPr="001C0A93">
        <w:rPr>
          <w:rFonts w:cs="Calibri"/>
          <w:b/>
          <w:bCs/>
        </w:rPr>
        <w:t xml:space="preserve">biedrība “Pētersala-Andrejsala” </w:t>
      </w:r>
      <w:r w:rsidRPr="001C0A93">
        <w:rPr>
          <w:b/>
          <w:bCs/>
        </w:rPr>
        <w:t>(atbildīgā iestāde: Teritorijas labiekārtošanas pārvalde)</w:t>
      </w:r>
    </w:p>
    <w:p w14:paraId="01A26631" w14:textId="3C615B7B" w:rsidR="008B7079" w:rsidRPr="00E460B0" w:rsidRDefault="008B7079" w:rsidP="001C0A9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460B0">
        <w:rPr>
          <w:b/>
          <w:bCs/>
        </w:rPr>
        <w:t>_______________</w:t>
      </w:r>
    </w:p>
    <w:p w14:paraId="4E371E12" w14:textId="41AE4337" w:rsidR="008B7079" w:rsidRPr="009F2FB4" w:rsidRDefault="00C31B90" w:rsidP="001C0A93">
      <w:pPr>
        <w:autoSpaceDE w:val="0"/>
        <w:autoSpaceDN w:val="0"/>
        <w:adjustRightInd w:val="0"/>
        <w:ind w:firstLine="0"/>
        <w:jc w:val="center"/>
      </w:pPr>
      <w:r>
        <w:t>L.Petrova</w:t>
      </w:r>
    </w:p>
    <w:p w14:paraId="7BA51A5E" w14:textId="77777777" w:rsidR="001C0A93" w:rsidRDefault="001C0A93" w:rsidP="00454E88">
      <w:pPr>
        <w:ind w:firstLine="0"/>
      </w:pPr>
    </w:p>
    <w:p w14:paraId="025154E8" w14:textId="77777777" w:rsidR="003B13F8" w:rsidRPr="005B4695" w:rsidRDefault="003B13F8" w:rsidP="003B13F8">
      <w:pPr>
        <w:autoSpaceDE w:val="0"/>
        <w:autoSpaceDN w:val="0"/>
        <w:adjustRightInd w:val="0"/>
        <w:ind w:firstLine="0"/>
        <w:jc w:val="both"/>
      </w:pPr>
      <w:r w:rsidRPr="001C0A93">
        <w:t>2022.gada 6.septembrī notikušajā Komisijas 4.sēdē, izskatot 35.projektu</w:t>
      </w:r>
      <w:r>
        <w:t xml:space="preserve"> - </w:t>
      </w:r>
      <w:r w:rsidRPr="001C0A93">
        <w:t xml:space="preserve">iesniedzējs: </w:t>
      </w:r>
      <w:r w:rsidRPr="001C0A93">
        <w:rPr>
          <w:rFonts w:cs="Calibri"/>
        </w:rPr>
        <w:t>biedrība “Pētersala-Andrejsala”, projekta nosaukums “Anatomikuma laukuma iekārtojums un gājēju pāreja”</w:t>
      </w:r>
      <w:r>
        <w:rPr>
          <w:rFonts w:cs="Calibri"/>
        </w:rPr>
        <w:t xml:space="preserve">, Komisija nolēma - </w:t>
      </w:r>
      <w:r>
        <w:t xml:space="preserve">atlikt lēmuma pieņemšanu par projekta virzīšanu līdz atzinuma saņemšanai no </w:t>
      </w:r>
      <w:r>
        <w:rPr>
          <w:bCs/>
        </w:rPr>
        <w:t>RP SIA “Rīgas satiksme”.</w:t>
      </w:r>
    </w:p>
    <w:p w14:paraId="5B4A61F2" w14:textId="40A86E59" w:rsidR="001C0A93" w:rsidRDefault="001C0A93" w:rsidP="001C0A93">
      <w:pPr>
        <w:ind w:firstLine="0"/>
        <w:jc w:val="both"/>
      </w:pPr>
    </w:p>
    <w:p w14:paraId="2B2316E9" w14:textId="3E8BCD67" w:rsidR="00057569" w:rsidRDefault="00B0585C" w:rsidP="001C0A93">
      <w:pPr>
        <w:ind w:firstLine="0"/>
        <w:jc w:val="both"/>
        <w:rPr>
          <w:bCs/>
        </w:rPr>
      </w:pPr>
      <w:r>
        <w:t xml:space="preserve">Teritorijas labiekārtošanas pārvalde ir saņēmusi pieprasīto atzinumu no </w:t>
      </w:r>
      <w:r>
        <w:rPr>
          <w:bCs/>
        </w:rPr>
        <w:t xml:space="preserve">RP SIA “Rīgas satiksme” par projekta </w:t>
      </w:r>
      <w:r w:rsidR="00057569" w:rsidRPr="008E032B">
        <w:rPr>
          <w:color w:val="000000"/>
        </w:rPr>
        <w:t>“</w:t>
      </w:r>
      <w:r w:rsidR="00057569">
        <w:rPr>
          <w:color w:val="000000"/>
        </w:rPr>
        <w:t>Anatomikuma laukuma iekārtojums un gājēju pāreja</w:t>
      </w:r>
      <w:r w:rsidR="00057569" w:rsidRPr="007A42CF">
        <w:rPr>
          <w:color w:val="000000"/>
        </w:rPr>
        <w:t>”</w:t>
      </w:r>
      <w:r w:rsidR="00057569" w:rsidRPr="009908C3">
        <w:rPr>
          <w:color w:val="000000"/>
        </w:rPr>
        <w:t xml:space="preserve"> </w:t>
      </w:r>
      <w:r w:rsidR="00057569">
        <w:rPr>
          <w:bCs/>
        </w:rPr>
        <w:t>saskaņošanas un īstenošanas iespējām.</w:t>
      </w:r>
    </w:p>
    <w:p w14:paraId="1453ABC8" w14:textId="77777777" w:rsidR="006C1607" w:rsidRDefault="006C1607" w:rsidP="001C0A93">
      <w:pPr>
        <w:ind w:firstLine="0"/>
        <w:jc w:val="both"/>
        <w:rPr>
          <w:bCs/>
        </w:rPr>
      </w:pPr>
    </w:p>
    <w:p w14:paraId="0B094CD6" w14:textId="77777777" w:rsidR="00637070" w:rsidRPr="00057569" w:rsidRDefault="00637070" w:rsidP="00637070">
      <w:pPr>
        <w:tabs>
          <w:tab w:val="left" w:pos="284"/>
          <w:tab w:val="left" w:pos="426"/>
          <w:tab w:val="left" w:pos="567"/>
          <w:tab w:val="left" w:pos="851"/>
          <w:tab w:val="left" w:pos="6804"/>
          <w:tab w:val="left" w:pos="8789"/>
        </w:tabs>
        <w:ind w:right="-33" w:firstLine="0"/>
        <w:jc w:val="both"/>
        <w:rPr>
          <w:color w:val="000000"/>
        </w:rPr>
      </w:pPr>
      <w:r w:rsidRPr="00A667B9">
        <w:rPr>
          <w:color w:val="000000"/>
        </w:rPr>
        <w:t>RP SIA “Rīgas satiksme”</w:t>
      </w:r>
      <w:r>
        <w:rPr>
          <w:color w:val="000000"/>
        </w:rPr>
        <w:t xml:space="preserve"> </w:t>
      </w:r>
      <w:r w:rsidRPr="00DE2221">
        <w:rPr>
          <w:color w:val="000000"/>
        </w:rPr>
        <w:t xml:space="preserve">savas kompetences ietvaros </w:t>
      </w:r>
      <w:r>
        <w:rPr>
          <w:color w:val="000000"/>
        </w:rPr>
        <w:t>informē, ka</w:t>
      </w:r>
      <w:r w:rsidRPr="00DE2221">
        <w:rPr>
          <w:color w:val="000000"/>
        </w:rPr>
        <w:t xml:space="preserve"> </w:t>
      </w:r>
      <w:r>
        <w:rPr>
          <w:color w:val="000000"/>
        </w:rPr>
        <w:t xml:space="preserve">35. projektā paredzētie gājēju pārejas </w:t>
      </w:r>
      <w:r w:rsidRPr="00A667B9">
        <w:rPr>
          <w:color w:val="000000"/>
        </w:rPr>
        <w:t>risinājum</w:t>
      </w:r>
      <w:r>
        <w:rPr>
          <w:color w:val="000000"/>
        </w:rPr>
        <w:t>i</w:t>
      </w:r>
      <w:r w:rsidRPr="00A667B9">
        <w:rPr>
          <w:color w:val="000000"/>
        </w:rPr>
        <w:t xml:space="preserve"> neatbilst drošai satiksmes organizācijai, jo tramvaju sliežu klātnes šķērsošana ir ar augstu </w:t>
      </w:r>
      <w:r>
        <w:rPr>
          <w:color w:val="000000"/>
        </w:rPr>
        <w:t xml:space="preserve">gājēju </w:t>
      </w:r>
      <w:r w:rsidRPr="00A667B9">
        <w:rPr>
          <w:color w:val="000000"/>
        </w:rPr>
        <w:t xml:space="preserve">drošības risku.  </w:t>
      </w:r>
      <w:r>
        <w:rPr>
          <w:color w:val="000000"/>
        </w:rPr>
        <w:t>Papildus informē, ka 35. p</w:t>
      </w:r>
      <w:r w:rsidRPr="00C40C2F">
        <w:rPr>
          <w:color w:val="000000"/>
        </w:rPr>
        <w:t>rojekt</w:t>
      </w:r>
      <w:r>
        <w:rPr>
          <w:color w:val="000000"/>
        </w:rPr>
        <w:t>a</w:t>
      </w:r>
      <w:r w:rsidRPr="00C40C2F">
        <w:rPr>
          <w:color w:val="000000"/>
        </w:rPr>
        <w:t xml:space="preserve"> </w:t>
      </w:r>
      <w:r>
        <w:rPr>
          <w:color w:val="000000"/>
        </w:rPr>
        <w:t>zona</w:t>
      </w:r>
      <w:r w:rsidRPr="00C40C2F">
        <w:rPr>
          <w:color w:val="000000"/>
        </w:rPr>
        <w:t xml:space="preserve"> atrodas posmā</w:t>
      </w:r>
      <w:r>
        <w:rPr>
          <w:color w:val="000000"/>
        </w:rPr>
        <w:t>,</w:t>
      </w:r>
      <w:r w:rsidRPr="00C40C2F">
        <w:rPr>
          <w:color w:val="000000"/>
        </w:rPr>
        <w:t xml:space="preserve"> kur pašlaik notiek sliežu ceļu un pieturvietu pārbūve</w:t>
      </w:r>
      <w:r>
        <w:rPr>
          <w:color w:val="000000"/>
        </w:rPr>
        <w:t>s darbi,</w:t>
      </w:r>
      <w:r w:rsidRPr="00C40C2F">
        <w:rPr>
          <w:color w:val="000000"/>
        </w:rPr>
        <w:t xml:space="preserve"> </w:t>
      </w:r>
      <w:r>
        <w:rPr>
          <w:color w:val="000000"/>
        </w:rPr>
        <w:t xml:space="preserve">saskaņā ar </w:t>
      </w:r>
      <w:r w:rsidRPr="00EF4E07">
        <w:rPr>
          <w:color w:val="000000"/>
        </w:rPr>
        <w:t xml:space="preserve">SIA </w:t>
      </w:r>
      <w:bookmarkStart w:id="0" w:name="_Hlk112679859"/>
      <w:r w:rsidRPr="00EF4E07">
        <w:rPr>
          <w:color w:val="000000"/>
        </w:rPr>
        <w:t>“</w:t>
      </w:r>
      <w:bookmarkEnd w:id="0"/>
      <w:r w:rsidRPr="00EF4E07">
        <w:rPr>
          <w:color w:val="000000"/>
        </w:rPr>
        <w:t>BRD projekts”</w:t>
      </w:r>
      <w:r>
        <w:rPr>
          <w:color w:val="000000"/>
        </w:rPr>
        <w:t xml:space="preserve"> izstrādāto būvprojektu </w:t>
      </w:r>
      <w:r w:rsidRPr="00C40C2F">
        <w:rPr>
          <w:i/>
          <w:iCs/>
          <w:color w:val="000000"/>
        </w:rPr>
        <w:t>“Esošas tramvaju līnijas pārbūve 4.kārtas posmā no Ausekļa ielas loka (ieskaitot) līdz Aspazijas bulvāra / Radio ielas krustojumam pa Kronvalda, Zigfrīda Annas Meierovica un Aspazijas bulvāriem”</w:t>
      </w:r>
      <w:r>
        <w:rPr>
          <w:i/>
          <w:iCs/>
          <w:color w:val="000000"/>
        </w:rPr>
        <w:t>.</w:t>
      </w:r>
      <w:r w:rsidRPr="00E64F6D">
        <w:t xml:space="preserve"> </w:t>
      </w:r>
      <w:r w:rsidRPr="008B40A1">
        <w:rPr>
          <w:color w:val="000000"/>
        </w:rPr>
        <w:t>RP SIA “Rīgas satiksme” sniedz negatīvu atzinumu par</w:t>
      </w:r>
      <w:r w:rsidRPr="008B40A1">
        <w:t xml:space="preserve"> 35. </w:t>
      </w:r>
      <w:r w:rsidRPr="008B40A1">
        <w:rPr>
          <w:color w:val="000000"/>
        </w:rPr>
        <w:t>projektu “Anatomikuma laukuma</w:t>
      </w:r>
      <w:r w:rsidRPr="00EF4E07">
        <w:rPr>
          <w:color w:val="000000"/>
        </w:rPr>
        <w:t xml:space="preserve"> iekārtojums un gājēju pāreja”</w:t>
      </w:r>
      <w:r>
        <w:rPr>
          <w:color w:val="000000"/>
        </w:rPr>
        <w:t>. Būvprojekta izstrādei n</w:t>
      </w:r>
      <w:r w:rsidRPr="005D4158">
        <w:rPr>
          <w:color w:val="000000"/>
        </w:rPr>
        <w:t>epieciešams saņemt RP SIA “Rīgas satiksme” tehnisk</w:t>
      </w:r>
      <w:r>
        <w:rPr>
          <w:color w:val="000000"/>
        </w:rPr>
        <w:t>ā</w:t>
      </w:r>
      <w:r w:rsidRPr="005D4158">
        <w:rPr>
          <w:color w:val="000000"/>
        </w:rPr>
        <w:t>s prasības.</w:t>
      </w:r>
      <w:r>
        <w:rPr>
          <w:color w:val="000000"/>
        </w:rPr>
        <w:t xml:space="preserve"> Kā norādīts Komisijas 06.09.2022. sēdes protokolā Nr.4 (34.</w:t>
      </w:r>
      <w:r w:rsidRPr="002F59C3">
        <w:t xml:space="preserve"> </w:t>
      </w:r>
      <w:r>
        <w:t>§), arī Satiksmes departaments ir sniedzis negatīvu atzinumu,</w:t>
      </w:r>
      <w:r w:rsidRPr="002F59C3">
        <w:t xml:space="preserve"> jo vēlamās gājēju pārejas neatbilst LVS 190 (neregulējamas gājēju pārejas neveido, ja ir vairāk par vienu joslu katrā virzienā, ja vien tām nav drošības saliņa).</w:t>
      </w:r>
    </w:p>
    <w:p w14:paraId="1AB5E802" w14:textId="4F9250AB" w:rsidR="00690C42" w:rsidRDefault="00690C42" w:rsidP="001C0A93">
      <w:pPr>
        <w:ind w:firstLine="0"/>
        <w:jc w:val="both"/>
        <w:rPr>
          <w:bCs/>
        </w:rPr>
      </w:pPr>
    </w:p>
    <w:p w14:paraId="296EAB26" w14:textId="77777777" w:rsidR="005716A9" w:rsidRDefault="005716A9" w:rsidP="005716A9">
      <w:pPr>
        <w:ind w:firstLine="0"/>
        <w:jc w:val="both"/>
      </w:pPr>
      <w:r>
        <w:t>Ņemot vērā minēto, atbilstoši iepriekšējā Komisijas sēdē paustajiem argumentiem un nolemtajam, Komisija</w:t>
      </w:r>
      <w:r w:rsidRPr="00BF1D19">
        <w:t xml:space="preserve"> </w:t>
      </w:r>
      <w:r>
        <w:t>pieņem lēmumu, nobalsojot ar e-pasta starpniecību.</w:t>
      </w:r>
    </w:p>
    <w:p w14:paraId="085CB5E3" w14:textId="77777777" w:rsidR="004C32D0" w:rsidRPr="00584CAA" w:rsidRDefault="004C32D0" w:rsidP="00454E88">
      <w:pPr>
        <w:jc w:val="both"/>
        <w:rPr>
          <w:color w:val="FF0000"/>
        </w:rPr>
      </w:pPr>
    </w:p>
    <w:p w14:paraId="67BA7797" w14:textId="6EBC4C3C" w:rsidR="004C32D0" w:rsidRDefault="00C63A7A" w:rsidP="006615E5">
      <w:pPr>
        <w:ind w:firstLine="0"/>
        <w:jc w:val="both"/>
        <w:rPr>
          <w:u w:val="single"/>
        </w:rPr>
      </w:pPr>
      <w:r>
        <w:rPr>
          <w:u w:val="single"/>
        </w:rPr>
        <w:t>Lēmuma projekts</w:t>
      </w:r>
      <w:r w:rsidR="004C32D0" w:rsidRPr="00A81DFE">
        <w:t>:</w:t>
      </w:r>
      <w:r w:rsidR="00A81DFE" w:rsidRPr="00A81DFE">
        <w:t xml:space="preserve"> </w:t>
      </w:r>
      <w:r w:rsidR="00F1697C" w:rsidRPr="00A81DFE">
        <w:t>nevirzīt</w:t>
      </w:r>
      <w:r w:rsidR="00F1697C" w:rsidRPr="00043319">
        <w:t xml:space="preserve"> projektu uz balsošanu</w:t>
      </w:r>
      <w:r w:rsidR="002874A1">
        <w:t>.</w:t>
      </w:r>
    </w:p>
    <w:p w14:paraId="3E113267" w14:textId="77777777" w:rsidR="00604097" w:rsidRPr="004C32D0" w:rsidRDefault="00604097" w:rsidP="00454E88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604097" w:rsidRPr="009F2FB4" w14:paraId="690DD214" w14:textId="77777777" w:rsidTr="002717A7">
        <w:trPr>
          <w:trHeight w:val="523"/>
        </w:trPr>
        <w:tc>
          <w:tcPr>
            <w:tcW w:w="2808" w:type="dxa"/>
            <w:shd w:val="clear" w:color="auto" w:fill="auto"/>
          </w:tcPr>
          <w:p w14:paraId="0AEF55E9" w14:textId="77777777" w:rsidR="00604097" w:rsidRPr="002717A7" w:rsidRDefault="00604097" w:rsidP="009337DE">
            <w:pPr>
              <w:autoSpaceDE w:val="0"/>
              <w:autoSpaceDN w:val="0"/>
              <w:adjustRightInd w:val="0"/>
              <w:ind w:left="-108" w:firstLine="0"/>
            </w:pPr>
            <w:r w:rsidRPr="002717A7">
              <w:t>Balsošanas rezultāts:</w:t>
            </w:r>
          </w:p>
        </w:tc>
        <w:tc>
          <w:tcPr>
            <w:tcW w:w="6300" w:type="dxa"/>
            <w:shd w:val="clear" w:color="auto" w:fill="auto"/>
          </w:tcPr>
          <w:p w14:paraId="1ABF8C03" w14:textId="683DC92E" w:rsidR="00604097" w:rsidRPr="002717A7" w:rsidRDefault="00604097" w:rsidP="00D43F57">
            <w:pPr>
              <w:autoSpaceDE w:val="0"/>
              <w:autoSpaceDN w:val="0"/>
              <w:adjustRightInd w:val="0"/>
              <w:ind w:firstLine="0"/>
              <w:jc w:val="both"/>
            </w:pPr>
            <w:r w:rsidRPr="002717A7">
              <w:t>par –</w:t>
            </w:r>
            <w:r w:rsidR="00C63A7A" w:rsidRPr="002717A7">
              <w:t xml:space="preserve"> </w:t>
            </w:r>
            <w:r w:rsidR="00702E54">
              <w:t xml:space="preserve">I.Stalidzāne, K.Jansone, I.Bārtule, R.Grieķere, </w:t>
            </w:r>
            <w:r w:rsidR="00702E54" w:rsidRPr="008F2BF6">
              <w:t>E.Dubiņina;</w:t>
            </w:r>
          </w:p>
          <w:p w14:paraId="416B03B1" w14:textId="5B23C101" w:rsidR="00604097" w:rsidRPr="002717A7" w:rsidRDefault="00604097" w:rsidP="00D43F57">
            <w:pPr>
              <w:autoSpaceDE w:val="0"/>
              <w:autoSpaceDN w:val="0"/>
              <w:adjustRightInd w:val="0"/>
              <w:ind w:firstLine="0"/>
              <w:jc w:val="both"/>
            </w:pPr>
            <w:r w:rsidRPr="002717A7">
              <w:t>pret –</w:t>
            </w:r>
            <w:r w:rsidR="000E4B09" w:rsidRPr="002717A7">
              <w:t xml:space="preserve"> </w:t>
            </w:r>
            <w:r w:rsidR="00702E54">
              <w:t>M.Andrejeva, R.Golubovs, M.Jansons, A.Valkere, I.Krēmere</w:t>
            </w:r>
            <w:r w:rsidR="00766AC3">
              <w:t>;</w:t>
            </w:r>
          </w:p>
          <w:p w14:paraId="41796468" w14:textId="5DE2A6BE" w:rsidR="00604097" w:rsidRPr="002717A7" w:rsidRDefault="00604097" w:rsidP="00D43F57">
            <w:pPr>
              <w:autoSpaceDE w:val="0"/>
              <w:autoSpaceDN w:val="0"/>
              <w:adjustRightInd w:val="0"/>
              <w:ind w:firstLine="0"/>
              <w:jc w:val="both"/>
            </w:pPr>
            <w:r w:rsidRPr="002717A7">
              <w:t>atturas –</w:t>
            </w:r>
            <w:r w:rsidR="00766AC3">
              <w:t xml:space="preserve"> </w:t>
            </w:r>
            <w:r w:rsidR="00D15083">
              <w:t>L.Počs, M.Sarvuts, A.Kalniņa.</w:t>
            </w:r>
          </w:p>
        </w:tc>
      </w:tr>
    </w:tbl>
    <w:p w14:paraId="4C409FB9" w14:textId="77777777" w:rsidR="007047A0" w:rsidRPr="007047A0" w:rsidRDefault="007047A0" w:rsidP="007047A0">
      <w:pPr>
        <w:ind w:firstLine="0"/>
        <w:textAlignment w:val="baseline"/>
        <w:rPr>
          <w:rFonts w:eastAsia="Times New Roman"/>
          <w:i/>
          <w:iCs/>
          <w:lang w:eastAsia="lv-LV"/>
        </w:rPr>
      </w:pPr>
    </w:p>
    <w:p w14:paraId="5D459C0E" w14:textId="2CE515E1" w:rsidR="007047A0" w:rsidRPr="007001E2" w:rsidRDefault="007047A0" w:rsidP="007047A0">
      <w:pPr>
        <w:ind w:firstLine="0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highlight w:val="yellow"/>
          <w:lang w:eastAsia="lv-LV"/>
        </w:rPr>
      </w:pPr>
      <w:r w:rsidRPr="007001E2">
        <w:rPr>
          <w:rFonts w:eastAsia="Times New Roman"/>
          <w:i/>
          <w:iCs/>
          <w:lang w:eastAsia="lv-LV"/>
        </w:rPr>
        <w:t xml:space="preserve">Rīgas pilsētas līdzdalības budžeta projektu ideju īstenošanas konkursa nolikuma 14. punkts nosaka, ka balsīm sadaloties vienādi, izšķirošā ir Komisijas priekšsēdētāja balss. </w:t>
      </w:r>
    </w:p>
    <w:p w14:paraId="777F1B8B" w14:textId="77777777" w:rsidR="001A0716" w:rsidRPr="009F2FB4" w:rsidRDefault="001A0716" w:rsidP="00A42A8E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604097" w:rsidRPr="009F2FB4" w14:paraId="24ED4426" w14:textId="77777777" w:rsidTr="009823E4">
        <w:tc>
          <w:tcPr>
            <w:tcW w:w="2808" w:type="dxa"/>
          </w:tcPr>
          <w:p w14:paraId="50DBBCD7" w14:textId="2D5EA645" w:rsidR="00111F33" w:rsidRPr="009F2FB4" w:rsidRDefault="00604097" w:rsidP="00702E54">
            <w:pPr>
              <w:autoSpaceDE w:val="0"/>
              <w:autoSpaceDN w:val="0"/>
              <w:adjustRightInd w:val="0"/>
              <w:ind w:left="-108" w:firstLine="0"/>
              <w:rPr>
                <w:b/>
              </w:rPr>
            </w:pPr>
            <w:r w:rsidRPr="009F2FB4">
              <w:rPr>
                <w:b/>
              </w:rPr>
              <w:t>Nolemj:</w:t>
            </w:r>
            <w:r w:rsidR="00702E54" w:rsidRPr="00A81DFE">
              <w:t xml:space="preserve"> </w:t>
            </w:r>
          </w:p>
        </w:tc>
        <w:tc>
          <w:tcPr>
            <w:tcW w:w="6300" w:type="dxa"/>
          </w:tcPr>
          <w:p w14:paraId="18E85ABA" w14:textId="496853C7" w:rsidR="00604097" w:rsidRPr="00BC3152" w:rsidRDefault="00702E54" w:rsidP="009337DE">
            <w:pPr>
              <w:ind w:firstLine="0"/>
              <w:jc w:val="both"/>
              <w:rPr>
                <w:highlight w:val="green"/>
              </w:rPr>
            </w:pPr>
            <w:r w:rsidRPr="00A81DFE">
              <w:t>nevirzīt</w:t>
            </w:r>
            <w:r w:rsidRPr="00043319">
              <w:t xml:space="preserve"> projektu uz balsošanu</w:t>
            </w:r>
            <w:r w:rsidR="00645FD9">
              <w:t>.</w:t>
            </w:r>
          </w:p>
        </w:tc>
      </w:tr>
    </w:tbl>
    <w:p w14:paraId="5151E23D" w14:textId="38FD975E" w:rsidR="007047A0" w:rsidRDefault="007047A0" w:rsidP="00CA78FE">
      <w:pPr>
        <w:ind w:firstLine="0"/>
      </w:pPr>
    </w:p>
    <w:p w14:paraId="6C8C3C45" w14:textId="77777777" w:rsidR="00912C60" w:rsidRPr="008C59B6" w:rsidRDefault="00912C60" w:rsidP="00912C60">
      <w:pPr>
        <w:pStyle w:val="Virsraksts1"/>
        <w:jc w:val="center"/>
      </w:pPr>
      <w:r w:rsidRPr="008C59B6">
        <w:t>[..]</w:t>
      </w:r>
    </w:p>
    <w:p w14:paraId="0459D0D5" w14:textId="4A6249F8" w:rsidR="0020552B" w:rsidRDefault="007F0F0C" w:rsidP="00912C60">
      <w:pPr>
        <w:pStyle w:val="Protokols"/>
        <w:tabs>
          <w:tab w:val="left" w:pos="2445"/>
        </w:tabs>
        <w:spacing w:after="240"/>
        <w:ind w:left="1276" w:hanging="1276"/>
        <w:jc w:val="both"/>
        <w:rPr>
          <w:b w:val="0"/>
          <w:bCs/>
          <w:color w:val="000000"/>
        </w:rPr>
      </w:pPr>
      <w:r>
        <w:rPr>
          <w:b w:val="0"/>
          <w:bCs/>
          <w:noProof/>
        </w:rPr>
        <w:lastRenderedPageBreak/>
        <w:t>Pielikums:</w:t>
      </w:r>
      <w:r w:rsidR="0043161E">
        <w:rPr>
          <w:b w:val="0"/>
          <w:bCs/>
          <w:noProof/>
        </w:rPr>
        <w:t xml:space="preserve"> </w:t>
      </w:r>
      <w:r w:rsidRPr="007F0F0C">
        <w:rPr>
          <w:b w:val="0"/>
          <w:bCs/>
          <w:color w:val="000000"/>
        </w:rPr>
        <w:t>RP SIA “Rīgas satiksme” atzinums par projektu “</w:t>
      </w:r>
      <w:r w:rsidRPr="007F0F0C">
        <w:rPr>
          <w:rFonts w:cs="Calibri"/>
          <w:b w:val="0"/>
          <w:bCs/>
        </w:rPr>
        <w:t>Anatomikuma laukuma iekārtojums un gājēju pāreja”</w:t>
      </w:r>
      <w:r w:rsidRPr="007F0F0C">
        <w:rPr>
          <w:b w:val="0"/>
          <w:bCs/>
          <w:color w:val="000000"/>
        </w:rPr>
        <w:t xml:space="preserve"> </w:t>
      </w:r>
      <w:r w:rsidRPr="009C605A">
        <w:rPr>
          <w:b w:val="0"/>
          <w:bCs/>
          <w:color w:val="000000"/>
        </w:rPr>
        <w:t>uz 1 lp.</w:t>
      </w:r>
    </w:p>
    <w:p w14:paraId="0E612FB8" w14:textId="7680A6F0" w:rsidR="00EB4659" w:rsidRDefault="00EB4659" w:rsidP="00454E88">
      <w:pPr>
        <w:ind w:firstLine="0"/>
        <w:jc w:val="both"/>
      </w:pPr>
    </w:p>
    <w:p w14:paraId="4FBC5DB4" w14:textId="77777777" w:rsidR="00C87BC6" w:rsidRPr="009F2FB4" w:rsidRDefault="00C87BC6" w:rsidP="00C87BC6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38"/>
        <w:gridCol w:w="3038"/>
        <w:gridCol w:w="3402"/>
      </w:tblGrid>
      <w:tr w:rsidR="00C87BC6" w:rsidRPr="00A17E8A" w14:paraId="0BA6DBF7" w14:textId="77777777" w:rsidTr="00C84F20">
        <w:tc>
          <w:tcPr>
            <w:tcW w:w="3038" w:type="dxa"/>
            <w:shd w:val="clear" w:color="auto" w:fill="auto"/>
          </w:tcPr>
          <w:p w14:paraId="08639A6F" w14:textId="77777777" w:rsidR="00C87BC6" w:rsidRPr="009F2FB4" w:rsidRDefault="00C87BC6" w:rsidP="00C84F20">
            <w:pPr>
              <w:pStyle w:val="Protokols"/>
              <w:jc w:val="both"/>
              <w:rPr>
                <w:b w:val="0"/>
                <w:bCs/>
                <w:noProof/>
              </w:rPr>
            </w:pPr>
            <w:r w:rsidRPr="009F2FB4">
              <w:rPr>
                <w:b w:val="0"/>
                <w:bCs/>
                <w:noProof/>
              </w:rPr>
              <w:t>Komisijas priekšsēdētāja</w:t>
            </w:r>
          </w:p>
        </w:tc>
        <w:tc>
          <w:tcPr>
            <w:tcW w:w="3038" w:type="dxa"/>
            <w:shd w:val="clear" w:color="auto" w:fill="auto"/>
          </w:tcPr>
          <w:p w14:paraId="70285835" w14:textId="2E664B01" w:rsidR="00C87BC6" w:rsidRPr="009F2FB4" w:rsidRDefault="00C87BC6" w:rsidP="00C84F20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                 (paraksts)</w:t>
            </w:r>
          </w:p>
        </w:tc>
        <w:tc>
          <w:tcPr>
            <w:tcW w:w="3402" w:type="dxa"/>
            <w:shd w:val="clear" w:color="auto" w:fill="auto"/>
          </w:tcPr>
          <w:p w14:paraId="56CCD8D2" w14:textId="77777777" w:rsidR="00C87BC6" w:rsidRPr="00A17E8A" w:rsidRDefault="00C87BC6" w:rsidP="00C84F20">
            <w:pPr>
              <w:pStyle w:val="Protokols"/>
              <w:jc w:val="right"/>
              <w:rPr>
                <w:b w:val="0"/>
                <w:bCs/>
                <w:noProof/>
              </w:rPr>
            </w:pPr>
            <w:r w:rsidRPr="00A17E8A">
              <w:rPr>
                <w:b w:val="0"/>
                <w:bCs/>
                <w:noProof/>
              </w:rPr>
              <w:t xml:space="preserve">Rita </w:t>
            </w:r>
            <w:r w:rsidRPr="00A17E8A">
              <w:rPr>
                <w:b w:val="0"/>
                <w:bCs/>
              </w:rPr>
              <w:t>Grieķere</w:t>
            </w:r>
          </w:p>
        </w:tc>
      </w:tr>
    </w:tbl>
    <w:p w14:paraId="1B5146E2" w14:textId="77777777" w:rsidR="00C87BC6" w:rsidRDefault="00C87BC6" w:rsidP="00C87BC6">
      <w:pPr>
        <w:pStyle w:val="Protokols"/>
        <w:jc w:val="both"/>
        <w:rPr>
          <w:b w:val="0"/>
          <w:bCs/>
          <w:noProof/>
        </w:rPr>
      </w:pPr>
    </w:p>
    <w:p w14:paraId="18190FC4" w14:textId="77777777" w:rsidR="00C87BC6" w:rsidRPr="009F2FB4" w:rsidRDefault="00C87BC6" w:rsidP="00C87BC6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1848"/>
        <w:gridCol w:w="3402"/>
      </w:tblGrid>
      <w:tr w:rsidR="00C87BC6" w:rsidRPr="009F2FB4" w14:paraId="0FC73A3B" w14:textId="77777777" w:rsidTr="00C84F20">
        <w:tc>
          <w:tcPr>
            <w:tcW w:w="4219" w:type="dxa"/>
            <w:shd w:val="clear" w:color="auto" w:fill="auto"/>
          </w:tcPr>
          <w:p w14:paraId="147E8682" w14:textId="77777777" w:rsidR="00C87BC6" w:rsidRPr="009F2FB4" w:rsidRDefault="00C87BC6" w:rsidP="00C84F20">
            <w:pPr>
              <w:pStyle w:val="Protokols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P</w:t>
            </w:r>
            <w:r w:rsidRPr="009F2FB4">
              <w:rPr>
                <w:b w:val="0"/>
                <w:bCs/>
                <w:noProof/>
              </w:rPr>
              <w:t>rotokolētājs (Komisijas sekretār</w:t>
            </w:r>
            <w:r>
              <w:rPr>
                <w:b w:val="0"/>
                <w:bCs/>
                <w:noProof/>
              </w:rPr>
              <w:t>e</w:t>
            </w:r>
            <w:r w:rsidRPr="009F2FB4">
              <w:rPr>
                <w:b w:val="0"/>
                <w:bCs/>
                <w:noProof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54FAD476" w14:textId="77777777" w:rsidR="00C87BC6" w:rsidRPr="009F2FB4" w:rsidRDefault="00C87BC6" w:rsidP="00C84F20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(paraksts)</w:t>
            </w:r>
          </w:p>
        </w:tc>
        <w:tc>
          <w:tcPr>
            <w:tcW w:w="3402" w:type="dxa"/>
            <w:shd w:val="clear" w:color="auto" w:fill="auto"/>
          </w:tcPr>
          <w:p w14:paraId="35B5854A" w14:textId="77777777" w:rsidR="00C87BC6" w:rsidRPr="009F2FB4" w:rsidRDefault="00C87BC6" w:rsidP="00C84F20">
            <w:pPr>
              <w:pStyle w:val="Protokols"/>
              <w:jc w:val="righ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Ligita Petrova</w:t>
            </w:r>
          </w:p>
        </w:tc>
      </w:tr>
    </w:tbl>
    <w:p w14:paraId="6911B4C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67525F0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5E15B7E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023E44D6" w14:textId="77777777" w:rsidR="00C87BC6" w:rsidRDefault="00C87BC6" w:rsidP="00C87BC6">
      <w:pPr>
        <w:pStyle w:val="Protokols"/>
        <w:jc w:val="both"/>
        <w:rPr>
          <w:b w:val="0"/>
          <w:bCs/>
          <w:noProof/>
        </w:rPr>
      </w:pPr>
      <w:r>
        <w:rPr>
          <w:b w:val="0"/>
          <w:bCs/>
          <w:noProof/>
        </w:rPr>
        <w:t>IZRAKSTS PAREIZS</w:t>
      </w:r>
    </w:p>
    <w:p w14:paraId="29E386A2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>
        <w:rPr>
          <w:b w:val="0"/>
          <w:bCs/>
          <w:noProof/>
        </w:rPr>
        <w:t>Ligita Petrova</w:t>
      </w:r>
    </w:p>
    <w:p w14:paraId="18B0B3DF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Rīgas pilsētas līdzdalības budžeta</w:t>
      </w:r>
    </w:p>
    <w:p w14:paraId="4DF13346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projektu ideju īstenošanas konkursa</w:t>
      </w:r>
    </w:p>
    <w:p w14:paraId="3948E649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vērtēšanas komisijas sekretārs</w:t>
      </w:r>
    </w:p>
    <w:p w14:paraId="3CB760E7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</w:p>
    <w:p w14:paraId="620D4459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</w:p>
    <w:p w14:paraId="320400A5" w14:textId="77777777" w:rsidR="00C87BC6" w:rsidRPr="009F2FB4" w:rsidRDefault="00C87BC6" w:rsidP="00C87BC6">
      <w:pPr>
        <w:pStyle w:val="Protokols"/>
        <w:jc w:val="left"/>
        <w:rPr>
          <w:b w:val="0"/>
          <w:bCs/>
          <w:noProof/>
        </w:rPr>
      </w:pPr>
      <w:r>
        <w:rPr>
          <w:b w:val="0"/>
          <w:bCs/>
          <w:noProof/>
        </w:rPr>
        <w:t>2022. gada 16. septembris</w:t>
      </w:r>
    </w:p>
    <w:p w14:paraId="5E998C83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4091453E" w14:textId="77777777" w:rsidR="00C87BC6" w:rsidRDefault="00C87BC6" w:rsidP="00454E88">
      <w:pPr>
        <w:ind w:firstLine="0"/>
        <w:jc w:val="both"/>
      </w:pPr>
    </w:p>
    <w:sectPr w:rsidR="00C87BC6" w:rsidSect="005A30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CAA"/>
    <w:multiLevelType w:val="hybridMultilevel"/>
    <w:tmpl w:val="B750F0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45F3"/>
    <w:multiLevelType w:val="hybridMultilevel"/>
    <w:tmpl w:val="13EA4CEC"/>
    <w:lvl w:ilvl="0" w:tplc="8272BBE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15872"/>
    <w:multiLevelType w:val="hybridMultilevel"/>
    <w:tmpl w:val="489A9E18"/>
    <w:lvl w:ilvl="0" w:tplc="CC183DE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25712"/>
    <w:multiLevelType w:val="hybridMultilevel"/>
    <w:tmpl w:val="4DCAD1FC"/>
    <w:lvl w:ilvl="0" w:tplc="8272BBE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A5286"/>
    <w:multiLevelType w:val="hybridMultilevel"/>
    <w:tmpl w:val="67F23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4C68"/>
    <w:multiLevelType w:val="hybridMultilevel"/>
    <w:tmpl w:val="8FA04FE6"/>
    <w:lvl w:ilvl="0" w:tplc="857207B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66586D"/>
    <w:multiLevelType w:val="hybridMultilevel"/>
    <w:tmpl w:val="321E3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D0"/>
    <w:rsid w:val="00012CA0"/>
    <w:rsid w:val="00013728"/>
    <w:rsid w:val="00043319"/>
    <w:rsid w:val="00057569"/>
    <w:rsid w:val="000659EE"/>
    <w:rsid w:val="000A02BC"/>
    <w:rsid w:val="000A2835"/>
    <w:rsid w:val="000B1CF5"/>
    <w:rsid w:val="000B63FD"/>
    <w:rsid w:val="000B79BB"/>
    <w:rsid w:val="000E4B09"/>
    <w:rsid w:val="000E7CE8"/>
    <w:rsid w:val="00111F33"/>
    <w:rsid w:val="00141F22"/>
    <w:rsid w:val="001614B0"/>
    <w:rsid w:val="00170C06"/>
    <w:rsid w:val="001726D6"/>
    <w:rsid w:val="00184F36"/>
    <w:rsid w:val="001859A8"/>
    <w:rsid w:val="0019151D"/>
    <w:rsid w:val="001A0716"/>
    <w:rsid w:val="001A7AA2"/>
    <w:rsid w:val="001C0A93"/>
    <w:rsid w:val="001C751D"/>
    <w:rsid w:val="001C77BB"/>
    <w:rsid w:val="0020552B"/>
    <w:rsid w:val="002171CF"/>
    <w:rsid w:val="002256C0"/>
    <w:rsid w:val="002416BC"/>
    <w:rsid w:val="002573B5"/>
    <w:rsid w:val="0025745A"/>
    <w:rsid w:val="00264C80"/>
    <w:rsid w:val="002717A7"/>
    <w:rsid w:val="00273B69"/>
    <w:rsid w:val="00276247"/>
    <w:rsid w:val="002874A1"/>
    <w:rsid w:val="002910AA"/>
    <w:rsid w:val="00291329"/>
    <w:rsid w:val="002D2343"/>
    <w:rsid w:val="002D30D2"/>
    <w:rsid w:val="002E543F"/>
    <w:rsid w:val="00301ADA"/>
    <w:rsid w:val="00305B5D"/>
    <w:rsid w:val="00332B1A"/>
    <w:rsid w:val="00362149"/>
    <w:rsid w:val="0036346A"/>
    <w:rsid w:val="00373F6F"/>
    <w:rsid w:val="0039513E"/>
    <w:rsid w:val="003A5A31"/>
    <w:rsid w:val="003B13F8"/>
    <w:rsid w:val="003C381D"/>
    <w:rsid w:val="004204F4"/>
    <w:rsid w:val="0042196C"/>
    <w:rsid w:val="0043161E"/>
    <w:rsid w:val="0044310C"/>
    <w:rsid w:val="004539DE"/>
    <w:rsid w:val="00454E88"/>
    <w:rsid w:val="00483D8C"/>
    <w:rsid w:val="00497C68"/>
    <w:rsid w:val="004B2139"/>
    <w:rsid w:val="004C0A74"/>
    <w:rsid w:val="004C32D0"/>
    <w:rsid w:val="004E047E"/>
    <w:rsid w:val="00501370"/>
    <w:rsid w:val="0051129E"/>
    <w:rsid w:val="00530CB6"/>
    <w:rsid w:val="00534247"/>
    <w:rsid w:val="0054655B"/>
    <w:rsid w:val="00552D3C"/>
    <w:rsid w:val="00553157"/>
    <w:rsid w:val="005716A9"/>
    <w:rsid w:val="00584CAA"/>
    <w:rsid w:val="00587DBE"/>
    <w:rsid w:val="005A1DDC"/>
    <w:rsid w:val="005A30DD"/>
    <w:rsid w:val="005B39DB"/>
    <w:rsid w:val="005D01F6"/>
    <w:rsid w:val="005D16C6"/>
    <w:rsid w:val="005D1B39"/>
    <w:rsid w:val="005D26EC"/>
    <w:rsid w:val="005F0CE0"/>
    <w:rsid w:val="00604097"/>
    <w:rsid w:val="00610C5A"/>
    <w:rsid w:val="006132A5"/>
    <w:rsid w:val="00637070"/>
    <w:rsid w:val="00643149"/>
    <w:rsid w:val="00645FD9"/>
    <w:rsid w:val="00650DEC"/>
    <w:rsid w:val="006615E5"/>
    <w:rsid w:val="00690BE9"/>
    <w:rsid w:val="00690C42"/>
    <w:rsid w:val="00693F35"/>
    <w:rsid w:val="006C1607"/>
    <w:rsid w:val="006C7084"/>
    <w:rsid w:val="006E5FA9"/>
    <w:rsid w:val="006F2C86"/>
    <w:rsid w:val="007001E2"/>
    <w:rsid w:val="00702E54"/>
    <w:rsid w:val="007047A0"/>
    <w:rsid w:val="0070487D"/>
    <w:rsid w:val="00710A9D"/>
    <w:rsid w:val="007616AA"/>
    <w:rsid w:val="00766AC3"/>
    <w:rsid w:val="00777616"/>
    <w:rsid w:val="007776BF"/>
    <w:rsid w:val="00782AB3"/>
    <w:rsid w:val="007A2C5A"/>
    <w:rsid w:val="007A34A3"/>
    <w:rsid w:val="007C14D2"/>
    <w:rsid w:val="007F0F0C"/>
    <w:rsid w:val="00814FE6"/>
    <w:rsid w:val="00836DA5"/>
    <w:rsid w:val="00851F30"/>
    <w:rsid w:val="00861AAC"/>
    <w:rsid w:val="008726FE"/>
    <w:rsid w:val="00884D0B"/>
    <w:rsid w:val="008A3ACC"/>
    <w:rsid w:val="008B124B"/>
    <w:rsid w:val="008B40A1"/>
    <w:rsid w:val="008B7079"/>
    <w:rsid w:val="008C343F"/>
    <w:rsid w:val="008C5993"/>
    <w:rsid w:val="008C63DE"/>
    <w:rsid w:val="008D0FBC"/>
    <w:rsid w:val="008D1956"/>
    <w:rsid w:val="008E734C"/>
    <w:rsid w:val="008F2BF6"/>
    <w:rsid w:val="00912C60"/>
    <w:rsid w:val="009337DE"/>
    <w:rsid w:val="00933B3B"/>
    <w:rsid w:val="00961AC9"/>
    <w:rsid w:val="009808EC"/>
    <w:rsid w:val="009823E4"/>
    <w:rsid w:val="00992535"/>
    <w:rsid w:val="009A3849"/>
    <w:rsid w:val="009B7556"/>
    <w:rsid w:val="009C02C4"/>
    <w:rsid w:val="009C1563"/>
    <w:rsid w:val="009C605A"/>
    <w:rsid w:val="009C7E3A"/>
    <w:rsid w:val="009E69B2"/>
    <w:rsid w:val="009E6C60"/>
    <w:rsid w:val="009F0D49"/>
    <w:rsid w:val="00A008FC"/>
    <w:rsid w:val="00A210CF"/>
    <w:rsid w:val="00A23694"/>
    <w:rsid w:val="00A3222F"/>
    <w:rsid w:val="00A42A8E"/>
    <w:rsid w:val="00A55B66"/>
    <w:rsid w:val="00A57CC8"/>
    <w:rsid w:val="00A66B94"/>
    <w:rsid w:val="00A725A4"/>
    <w:rsid w:val="00A81DFE"/>
    <w:rsid w:val="00A85EBA"/>
    <w:rsid w:val="00AB2529"/>
    <w:rsid w:val="00AD494A"/>
    <w:rsid w:val="00AE319E"/>
    <w:rsid w:val="00AE606B"/>
    <w:rsid w:val="00AF08D5"/>
    <w:rsid w:val="00AF442E"/>
    <w:rsid w:val="00AF4949"/>
    <w:rsid w:val="00AF7E87"/>
    <w:rsid w:val="00B0035C"/>
    <w:rsid w:val="00B0585C"/>
    <w:rsid w:val="00B10959"/>
    <w:rsid w:val="00B55CEB"/>
    <w:rsid w:val="00B56E4F"/>
    <w:rsid w:val="00B61A5C"/>
    <w:rsid w:val="00B8739A"/>
    <w:rsid w:val="00BB0736"/>
    <w:rsid w:val="00BC3152"/>
    <w:rsid w:val="00BE35E0"/>
    <w:rsid w:val="00C26255"/>
    <w:rsid w:val="00C31B90"/>
    <w:rsid w:val="00C365A2"/>
    <w:rsid w:val="00C36816"/>
    <w:rsid w:val="00C42918"/>
    <w:rsid w:val="00C438B5"/>
    <w:rsid w:val="00C57A56"/>
    <w:rsid w:val="00C63A7A"/>
    <w:rsid w:val="00C64859"/>
    <w:rsid w:val="00C70BDD"/>
    <w:rsid w:val="00C766A9"/>
    <w:rsid w:val="00C77108"/>
    <w:rsid w:val="00C815DA"/>
    <w:rsid w:val="00C84CBE"/>
    <w:rsid w:val="00C86615"/>
    <w:rsid w:val="00C87BC6"/>
    <w:rsid w:val="00C91164"/>
    <w:rsid w:val="00CA39D7"/>
    <w:rsid w:val="00CA78FE"/>
    <w:rsid w:val="00CD4464"/>
    <w:rsid w:val="00CF52C5"/>
    <w:rsid w:val="00D05F9F"/>
    <w:rsid w:val="00D15083"/>
    <w:rsid w:val="00D31AB5"/>
    <w:rsid w:val="00D43F57"/>
    <w:rsid w:val="00D51B25"/>
    <w:rsid w:val="00D55AC6"/>
    <w:rsid w:val="00D70A3C"/>
    <w:rsid w:val="00D76592"/>
    <w:rsid w:val="00D805F8"/>
    <w:rsid w:val="00D82D9C"/>
    <w:rsid w:val="00D86FC6"/>
    <w:rsid w:val="00D944C3"/>
    <w:rsid w:val="00DB69FD"/>
    <w:rsid w:val="00DC30F6"/>
    <w:rsid w:val="00DC42E8"/>
    <w:rsid w:val="00DC50A3"/>
    <w:rsid w:val="00DD15AF"/>
    <w:rsid w:val="00DD284A"/>
    <w:rsid w:val="00DE6F3A"/>
    <w:rsid w:val="00DE76C1"/>
    <w:rsid w:val="00DF2324"/>
    <w:rsid w:val="00DF79D5"/>
    <w:rsid w:val="00E26300"/>
    <w:rsid w:val="00E43CD9"/>
    <w:rsid w:val="00E460B0"/>
    <w:rsid w:val="00E47632"/>
    <w:rsid w:val="00E72D2C"/>
    <w:rsid w:val="00E73E6C"/>
    <w:rsid w:val="00E91F6A"/>
    <w:rsid w:val="00E9753C"/>
    <w:rsid w:val="00E977C8"/>
    <w:rsid w:val="00EB4659"/>
    <w:rsid w:val="00ED38BB"/>
    <w:rsid w:val="00EF5DC9"/>
    <w:rsid w:val="00EF7B27"/>
    <w:rsid w:val="00F01955"/>
    <w:rsid w:val="00F05D9B"/>
    <w:rsid w:val="00F1697C"/>
    <w:rsid w:val="00F261FF"/>
    <w:rsid w:val="00F45439"/>
    <w:rsid w:val="00F53EF9"/>
    <w:rsid w:val="00F620FB"/>
    <w:rsid w:val="00F83167"/>
    <w:rsid w:val="00F853F2"/>
    <w:rsid w:val="00F912D5"/>
    <w:rsid w:val="00F94CD2"/>
    <w:rsid w:val="00FA6F0E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F6757"/>
  <w15:chartTrackingRefBased/>
  <w15:docId w15:val="{33A5A5AB-9119-4ABD-9090-125B6E3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20FB"/>
    <w:pPr>
      <w:ind w:firstLine="0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32D0"/>
    <w:pPr>
      <w:ind w:left="720" w:firstLine="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4C32D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2D0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620FB"/>
    <w:rPr>
      <w:b/>
      <w:bCs/>
    </w:rPr>
  </w:style>
  <w:style w:type="table" w:styleId="Reatabula">
    <w:name w:val="Table Grid"/>
    <w:basedOn w:val="Parastatabula"/>
    <w:uiPriority w:val="39"/>
    <w:rsid w:val="008B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next w:val="Parasts"/>
    <w:uiPriority w:val="99"/>
    <w:qFormat/>
    <w:rsid w:val="00F620FB"/>
    <w:pPr>
      <w:ind w:firstLine="0"/>
      <w:jc w:val="center"/>
    </w:pPr>
    <w:rPr>
      <w:rFonts w:eastAsia="Times New Roman"/>
      <w:sz w:val="36"/>
      <w:szCs w:val="36"/>
    </w:rPr>
  </w:style>
  <w:style w:type="paragraph" w:customStyle="1" w:styleId="Protokols">
    <w:name w:val="Protokols"/>
    <w:basedOn w:val="Parasts"/>
    <w:uiPriority w:val="99"/>
    <w:rsid w:val="0020552B"/>
    <w:pPr>
      <w:ind w:firstLine="0"/>
      <w:jc w:val="center"/>
    </w:pPr>
    <w:rPr>
      <w:rFonts w:eastAsia="Times New Roman"/>
      <w:b/>
    </w:rPr>
  </w:style>
  <w:style w:type="character" w:styleId="Komentraatsauce">
    <w:name w:val="annotation reference"/>
    <w:basedOn w:val="Noklusjumarindkopasfonts"/>
    <w:uiPriority w:val="99"/>
    <w:semiHidden/>
    <w:unhideWhenUsed/>
    <w:rsid w:val="00497C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97C6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97C6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7C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7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AppData/Local/Microsoft/Windows/INetCache/Content.Outlook/AppData/Local/RDLIS/Rigas_gerboni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0656-174A-4169-83DF-07BEFB0B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Pošers</dc:creator>
  <cp:keywords/>
  <dc:description/>
  <cp:lastModifiedBy>Ligita Petrova</cp:lastModifiedBy>
  <cp:revision>176</cp:revision>
  <cp:lastPrinted>2022-09-13T08:45:00Z</cp:lastPrinted>
  <dcterms:created xsi:type="dcterms:W3CDTF">2022-09-09T14:03:00Z</dcterms:created>
  <dcterms:modified xsi:type="dcterms:W3CDTF">2022-09-19T08:46:00Z</dcterms:modified>
</cp:coreProperties>
</file>